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20575" w14:textId="77777777" w:rsidR="00E84CF6" w:rsidRPr="00E84CF6" w:rsidRDefault="00E84CF6" w:rsidP="00E84CF6">
      <w:pPr>
        <w:jc w:val="center"/>
        <w:rPr>
          <w:b/>
          <w:bCs/>
          <w:sz w:val="28"/>
          <w:szCs w:val="28"/>
          <w:lang w:val="tr-TR"/>
        </w:rPr>
      </w:pPr>
      <w:r w:rsidRPr="00E84CF6">
        <w:rPr>
          <w:b/>
          <w:bCs/>
          <w:sz w:val="28"/>
          <w:szCs w:val="28"/>
          <w:lang w:val="tr-TR"/>
        </w:rPr>
        <w:t>ERASMUS+ KA171 PROJECT</w:t>
      </w:r>
      <w:r w:rsidRPr="00E84CF6">
        <w:rPr>
          <w:b/>
          <w:bCs/>
          <w:sz w:val="28"/>
          <w:szCs w:val="28"/>
          <w:lang w:val="tr-TR"/>
        </w:rPr>
        <w:br/>
        <w:t>STAFF TEACHING MOBILITY ANNOUNCEMENT</w:t>
      </w:r>
      <w:r w:rsidRPr="00E84CF6">
        <w:rPr>
          <w:b/>
          <w:bCs/>
          <w:sz w:val="28"/>
          <w:szCs w:val="28"/>
          <w:lang w:val="tr-TR"/>
        </w:rPr>
        <w:br/>
        <w:t>2025–2026 ACADEMIC YEAR</w:t>
      </w:r>
      <w:r w:rsidRPr="00E84CF6">
        <w:rPr>
          <w:b/>
          <w:bCs/>
          <w:sz w:val="28"/>
          <w:szCs w:val="28"/>
          <w:lang w:val="tr-TR"/>
        </w:rPr>
        <w:br/>
        <w:t>(MOROCCO)</w:t>
      </w:r>
      <w:r w:rsidRPr="00E84CF6">
        <w:rPr>
          <w:b/>
          <w:bCs/>
          <w:sz w:val="28"/>
          <w:szCs w:val="28"/>
          <w:lang w:val="tr-TR"/>
        </w:rPr>
        <w:br/>
        <w:t>(Grant Agreement No: 2025-1-TR01-KA171-HED-000341417)</w:t>
      </w:r>
    </w:p>
    <w:p w14:paraId="41681167" w14:textId="0B5D7BF6" w:rsidR="00E84CF6" w:rsidRPr="00E84CF6" w:rsidRDefault="00E84CF6" w:rsidP="00E84CF6">
      <w:pPr>
        <w:jc w:val="both"/>
        <w:rPr>
          <w:lang w:val="tr-TR"/>
        </w:rPr>
      </w:pPr>
      <w:r w:rsidRPr="00E84CF6">
        <w:rPr>
          <w:lang w:val="tr-TR"/>
        </w:rPr>
        <w:t>Within the scope of the Erasmus+ KA171 (Third Countries Not Associated to the Programme) project, a joint project has been carried out with</w:t>
      </w:r>
      <w:r w:rsidR="005C4053">
        <w:rPr>
          <w:lang w:val="tr-TR"/>
        </w:rPr>
        <w:t xml:space="preserve"> </w:t>
      </w:r>
      <w:r w:rsidR="005C4053" w:rsidRPr="005C4053">
        <w:rPr>
          <w:highlight w:val="yellow"/>
          <w:lang w:val="tr-TR"/>
        </w:rPr>
        <w:t xml:space="preserve">Abdelmalek Essaadi </w:t>
      </w:r>
      <w:r w:rsidRPr="005C4053">
        <w:rPr>
          <w:b/>
          <w:bCs/>
          <w:highlight w:val="yellow"/>
          <w:lang w:val="tr-TR"/>
        </w:rPr>
        <w:t xml:space="preserve"> </w:t>
      </w:r>
      <w:r w:rsidRPr="00E84CF6">
        <w:rPr>
          <w:b/>
          <w:bCs/>
          <w:highlight w:val="yellow"/>
          <w:lang w:val="tr-TR"/>
        </w:rPr>
        <w:t>University</w:t>
      </w:r>
      <w:r w:rsidRPr="00E84CF6">
        <w:rPr>
          <w:lang w:val="tr-TR"/>
        </w:rPr>
        <w:t xml:space="preserve"> in </w:t>
      </w:r>
      <w:r w:rsidR="005C4053">
        <w:rPr>
          <w:b/>
          <w:bCs/>
          <w:highlight w:val="yellow"/>
          <w:lang w:val="tr-TR"/>
        </w:rPr>
        <w:t>Morocco</w:t>
      </w:r>
      <w:r w:rsidRPr="00E84CF6">
        <w:rPr>
          <w:lang w:val="tr-TR"/>
        </w:rPr>
        <w:t xml:space="preserve">. This announcement has been prepared to invite applications for </w:t>
      </w:r>
      <w:r w:rsidRPr="00E84CF6">
        <w:rPr>
          <w:b/>
          <w:bCs/>
          <w:lang w:val="tr-TR"/>
        </w:rPr>
        <w:t>teaching mobility activities</w:t>
      </w:r>
      <w:r w:rsidRPr="00E84CF6">
        <w:rPr>
          <w:lang w:val="tr-TR"/>
        </w:rPr>
        <w:t xml:space="preserve"> to institutions located in non-EU countries under the Erasmus+ Programme.</w:t>
      </w:r>
    </w:p>
    <w:p w14:paraId="50706339" w14:textId="77777777" w:rsidR="00E84CF6" w:rsidRPr="00E84CF6" w:rsidRDefault="00E84CF6" w:rsidP="00E84CF6">
      <w:pPr>
        <w:jc w:val="both"/>
        <w:rPr>
          <w:lang w:val="tr-TR"/>
        </w:rPr>
      </w:pPr>
      <w:r w:rsidRPr="00E84CF6">
        <w:rPr>
          <w:lang w:val="tr-TR"/>
        </w:rPr>
        <w:t xml:space="preserve">International Credit Mobility projects, known as </w:t>
      </w:r>
      <w:r w:rsidRPr="00E84CF6">
        <w:rPr>
          <w:b/>
          <w:bCs/>
          <w:lang w:val="tr-TR"/>
        </w:rPr>
        <w:t>KA171 ICM projects</w:t>
      </w:r>
      <w:r w:rsidRPr="00E84CF6">
        <w:rPr>
          <w:lang w:val="tr-TR"/>
        </w:rPr>
        <w:t xml:space="preserve">, are implemented on a </w:t>
      </w:r>
      <w:r w:rsidRPr="00E84CF6">
        <w:rPr>
          <w:b/>
          <w:bCs/>
          <w:lang w:val="tr-TR"/>
        </w:rPr>
        <w:t>departmental or faculty basis</w:t>
      </w:r>
      <w:r w:rsidRPr="00E84CF6">
        <w:rPr>
          <w:lang w:val="tr-TR"/>
        </w:rPr>
        <w:t xml:space="preserve"> to support such mobility activities.</w:t>
      </w:r>
    </w:p>
    <w:p w14:paraId="029B7480" w14:textId="149A5045" w:rsidR="00E84CF6" w:rsidRPr="00E84CF6" w:rsidRDefault="00E84CF6" w:rsidP="00E84CF6">
      <w:pPr>
        <w:jc w:val="both"/>
        <w:rPr>
          <w:lang w:val="tr-TR"/>
        </w:rPr>
      </w:pPr>
      <w:r w:rsidRPr="00E84CF6">
        <w:rPr>
          <w:lang w:val="tr-TR"/>
        </w:rPr>
        <w:t xml:space="preserve">Within the scope of the project, </w:t>
      </w:r>
      <w:r w:rsidRPr="00E84CF6">
        <w:rPr>
          <w:b/>
          <w:bCs/>
          <w:lang w:val="tr-TR"/>
        </w:rPr>
        <w:t>one (1) Academic Staff Teaching Mobility</w:t>
      </w:r>
      <w:r w:rsidRPr="00E84CF6">
        <w:rPr>
          <w:lang w:val="tr-TR"/>
        </w:rPr>
        <w:t xml:space="preserve"> will be carried out in the </w:t>
      </w:r>
      <w:r w:rsidRPr="00E84CF6">
        <w:rPr>
          <w:b/>
          <w:bCs/>
          <w:lang w:val="tr-TR"/>
        </w:rPr>
        <w:t>2025–2026 academic year</w:t>
      </w:r>
      <w:r w:rsidRPr="00E84CF6">
        <w:rPr>
          <w:lang w:val="tr-TR"/>
        </w:rPr>
        <w:t xml:space="preserve">, in accordance with the criteria specified below. In line with the project content, applications are expected from </w:t>
      </w:r>
      <w:r w:rsidRPr="00E84CF6">
        <w:rPr>
          <w:b/>
          <w:bCs/>
          <w:lang w:val="tr-TR"/>
        </w:rPr>
        <w:t xml:space="preserve">academic staff of </w:t>
      </w:r>
      <w:r w:rsidRPr="00E84CF6">
        <w:rPr>
          <w:b/>
          <w:bCs/>
          <w:highlight w:val="yellow"/>
          <w:lang w:val="tr-TR"/>
        </w:rPr>
        <w:t>the Faculty</w:t>
      </w:r>
      <w:r w:rsidR="007B0469" w:rsidRPr="007B0469">
        <w:rPr>
          <w:b/>
          <w:bCs/>
          <w:lang w:val="tr-TR"/>
        </w:rPr>
        <w:t xml:space="preserve"> of Science and Technology, , Department of Information</w:t>
      </w:r>
      <w:r w:rsidRPr="00E84CF6">
        <w:rPr>
          <w:lang w:val="tr-TR"/>
        </w:rPr>
        <w:t xml:space="preserve">. In the event that no valid application is received in one of the specified fields, </w:t>
      </w:r>
      <w:r w:rsidRPr="00E84CF6">
        <w:rPr>
          <w:b/>
          <w:bCs/>
          <w:lang w:val="tr-TR"/>
        </w:rPr>
        <w:t>both applications may be evaluated within the same field</w:t>
      </w:r>
      <w:r w:rsidRPr="00E84CF6">
        <w:rPr>
          <w:lang w:val="tr-TR"/>
        </w:rPr>
        <w:t>.</w:t>
      </w:r>
    </w:p>
    <w:p w14:paraId="20D11078" w14:textId="77777777" w:rsidR="00E84CF6" w:rsidRPr="00E84CF6" w:rsidRDefault="00E84CF6" w:rsidP="00E84CF6">
      <w:pPr>
        <w:jc w:val="both"/>
        <w:rPr>
          <w:lang w:val="tr-TR"/>
        </w:rPr>
      </w:pPr>
      <w:r w:rsidRPr="00E84CF6">
        <w:rPr>
          <w:lang w:val="tr-TR"/>
        </w:rPr>
        <w:t xml:space="preserve">According to the National Agency regulations, the assignment of academic staff participating in the project numbered </w:t>
      </w:r>
      <w:r w:rsidRPr="00E84CF6">
        <w:rPr>
          <w:b/>
          <w:bCs/>
          <w:lang w:val="tr-TR"/>
        </w:rPr>
        <w:t>2025-1-TR01-KA171-HED-000341417</w:t>
      </w:r>
      <w:r w:rsidRPr="00E84CF6">
        <w:rPr>
          <w:lang w:val="tr-TR"/>
        </w:rPr>
        <w:t xml:space="preserve"> is limited to </w:t>
      </w:r>
      <w:r w:rsidRPr="00E84CF6">
        <w:rPr>
          <w:b/>
          <w:bCs/>
          <w:lang w:val="tr-TR"/>
        </w:rPr>
        <w:t>5 days excluding travel</w:t>
      </w:r>
      <w:r w:rsidRPr="00E84CF6">
        <w:rPr>
          <w:lang w:val="tr-TR"/>
        </w:rPr>
        <w:t xml:space="preserve">. For Teaching Mobility, a minimum of </w:t>
      </w:r>
      <w:r w:rsidRPr="00E84CF6">
        <w:rPr>
          <w:b/>
          <w:bCs/>
          <w:lang w:val="tr-TR"/>
        </w:rPr>
        <w:t>8 teaching hours</w:t>
      </w:r>
      <w:r w:rsidRPr="00E84CF6">
        <w:rPr>
          <w:lang w:val="tr-TR"/>
        </w:rPr>
        <w:t xml:space="preserve"> must be delivered during a </w:t>
      </w:r>
      <w:r w:rsidRPr="00E84CF6">
        <w:rPr>
          <w:b/>
          <w:bCs/>
          <w:lang w:val="tr-TR"/>
        </w:rPr>
        <w:t>5-day mobility period</w:t>
      </w:r>
      <w:r w:rsidRPr="00E84CF6">
        <w:rPr>
          <w:lang w:val="tr-TR"/>
        </w:rPr>
        <w:t xml:space="preserve">. Travel expenses will be calculated and reimbursed based on the </w:t>
      </w:r>
      <w:r w:rsidRPr="00E84CF6">
        <w:rPr>
          <w:b/>
          <w:bCs/>
          <w:lang w:val="tr-TR"/>
        </w:rPr>
        <w:t>distance calculation tool of the Beneficiary Module</w:t>
      </w:r>
      <w:r w:rsidRPr="00E84CF6">
        <w:rPr>
          <w:lang w:val="tr-TR"/>
        </w:rPr>
        <w:t>.</w:t>
      </w:r>
    </w:p>
    <w:p w14:paraId="03AC7C39" w14:textId="77777777" w:rsidR="00E84CF6" w:rsidRDefault="00E84CF6" w:rsidP="00E84CF6">
      <w:pPr>
        <w:jc w:val="both"/>
        <w:rPr>
          <w:lang w:val="tr-TR"/>
        </w:rPr>
      </w:pPr>
      <w:r w:rsidRPr="00E84CF6">
        <w:rPr>
          <w:lang w:val="tr-TR"/>
        </w:rPr>
        <w:t xml:space="preserve">Grant payments will be made to the selected academic staff for the days on which teaching activities are carried out and travel takes place, provided that the candidates are included in the principal (main) list. In case the staff members on the principal list waive their right to participate, candidates on the reserve list will be promoted to the principal list, and grant payments will be made to them if they carry out the mobility. </w:t>
      </w:r>
    </w:p>
    <w:p w14:paraId="0F718764" w14:textId="296430AF" w:rsidR="00E84CF6" w:rsidRDefault="00E84CF6" w:rsidP="00E84CF6">
      <w:pPr>
        <w:jc w:val="both"/>
        <w:rPr>
          <w:lang w:val="tr-TR"/>
        </w:rPr>
      </w:pPr>
      <w:r w:rsidRPr="00E84CF6">
        <w:rPr>
          <w:lang w:val="tr-TR"/>
        </w:rPr>
        <w:t>Additionally, candidates on the reserve list for teaching mobility may participate in the activity without a grant, without waiting to be promoted to the principal list, should they wish to do so.</w:t>
      </w:r>
    </w:p>
    <w:p w14:paraId="438D1893" w14:textId="77777777" w:rsidR="00E84CF6" w:rsidRPr="00E84CF6" w:rsidRDefault="00E84CF6" w:rsidP="00E84CF6">
      <w:pPr>
        <w:jc w:val="both"/>
        <w:rPr>
          <w:b/>
          <w:bCs/>
          <w:lang w:val="tr-TR"/>
        </w:rPr>
      </w:pPr>
      <w:r w:rsidRPr="00E84CF6">
        <w:rPr>
          <w:b/>
          <w:bCs/>
          <w:lang w:val="tr-TR"/>
        </w:rPr>
        <w:t>Teaching Mobility</w:t>
      </w:r>
    </w:p>
    <w:p w14:paraId="16F4A8FB" w14:textId="1CD21CCD" w:rsidR="00E84CF6" w:rsidRPr="00E84CF6" w:rsidRDefault="00E84CF6" w:rsidP="00E84CF6">
      <w:pPr>
        <w:jc w:val="both"/>
        <w:rPr>
          <w:lang w:val="tr-TR"/>
        </w:rPr>
      </w:pPr>
      <w:r w:rsidRPr="00E84CF6">
        <w:rPr>
          <w:lang w:val="tr-TR"/>
        </w:rPr>
        <w:t xml:space="preserve">Staff Teaching Mobility enables academic staff who have a teaching obligation at a higher education institution in </w:t>
      </w:r>
      <w:r w:rsidR="005C4053">
        <w:rPr>
          <w:b/>
          <w:bCs/>
          <w:highlight w:val="yellow"/>
          <w:lang w:val="tr-TR"/>
        </w:rPr>
        <w:t>Morocco</w:t>
      </w:r>
      <w:r w:rsidRPr="00E84CF6">
        <w:rPr>
          <w:lang w:val="tr-TR"/>
        </w:rPr>
        <w:t xml:space="preserve"> to teach students at partner higher education institutions, and to carry out joint academic and educational activities with the host institution.</w:t>
      </w:r>
    </w:p>
    <w:p w14:paraId="43035609" w14:textId="77777777" w:rsidR="00E84CF6" w:rsidRPr="00E84CF6" w:rsidRDefault="00E84CF6" w:rsidP="00E84CF6">
      <w:pPr>
        <w:jc w:val="both"/>
        <w:rPr>
          <w:lang w:val="tr-TR"/>
        </w:rPr>
      </w:pPr>
      <w:r w:rsidRPr="00E84CF6">
        <w:rPr>
          <w:lang w:val="tr-TR"/>
        </w:rPr>
        <w:t>This activity provides academic staff working at higher education institutions with the opportunity to gain international experience by teaching at partner institutions in third countries.</w:t>
      </w:r>
    </w:p>
    <w:p w14:paraId="72088197" w14:textId="77777777" w:rsidR="00E84CF6" w:rsidRPr="00E84CF6" w:rsidRDefault="00E84CF6" w:rsidP="00E84CF6">
      <w:pPr>
        <w:jc w:val="both"/>
        <w:rPr>
          <w:lang w:val="tr-TR"/>
        </w:rPr>
      </w:pPr>
      <w:r w:rsidRPr="00E84CF6">
        <w:rPr>
          <w:lang w:val="tr-TR"/>
        </w:rPr>
        <w:t>Only academic staff working in the fields specified in the inter-institutional agreement may benefit from the mobility.</w:t>
      </w:r>
    </w:p>
    <w:p w14:paraId="4B607464" w14:textId="77777777" w:rsidR="00E84CF6" w:rsidRPr="00E84CF6" w:rsidRDefault="00E84CF6" w:rsidP="00E84CF6">
      <w:pPr>
        <w:jc w:val="both"/>
        <w:rPr>
          <w:lang w:val="tr-TR"/>
        </w:rPr>
      </w:pPr>
      <w:r w:rsidRPr="00E84CF6">
        <w:rPr>
          <w:lang w:val="tr-TR"/>
        </w:rPr>
        <w:lastRenderedPageBreak/>
        <w:t>Regardless of the applicant’s field of study, the unit to which the staff member is officially affiliated shall be taken as the basis.</w:t>
      </w:r>
    </w:p>
    <w:p w14:paraId="4E5E07F4" w14:textId="77777777" w:rsidR="00E84CF6" w:rsidRPr="00E84CF6" w:rsidRDefault="00E84CF6" w:rsidP="00E84CF6">
      <w:pPr>
        <w:jc w:val="both"/>
        <w:rPr>
          <w:lang w:val="tr-TR"/>
        </w:rPr>
      </w:pPr>
      <w:r w:rsidRPr="00E84CF6">
        <w:rPr>
          <w:lang w:val="tr-TR"/>
        </w:rPr>
        <w:t>The staff member participating in the activity must also meet the following minimum requirements:</w:t>
      </w:r>
    </w:p>
    <w:p w14:paraId="7F00D384" w14:textId="208DF595" w:rsidR="00E84CF6" w:rsidRPr="00E84CF6" w:rsidRDefault="00E84CF6" w:rsidP="00E84CF6">
      <w:pPr>
        <w:jc w:val="both"/>
        <w:rPr>
          <w:lang w:val="tr-TR"/>
        </w:rPr>
      </w:pPr>
      <w:r w:rsidRPr="00E84CF6">
        <w:rPr>
          <w:b/>
          <w:bCs/>
          <w:lang w:val="tr-TR"/>
        </w:rPr>
        <w:t>Application Requirements for Teaching Mobility</w:t>
      </w:r>
    </w:p>
    <w:p w14:paraId="5DBF5BBF" w14:textId="27BE6D7D" w:rsidR="00E84CF6" w:rsidRPr="00E84CF6" w:rsidRDefault="00E84CF6" w:rsidP="00E84CF6">
      <w:pPr>
        <w:numPr>
          <w:ilvl w:val="0"/>
          <w:numId w:val="5"/>
        </w:numPr>
        <w:jc w:val="both"/>
        <w:rPr>
          <w:lang w:val="tr-TR"/>
        </w:rPr>
      </w:pPr>
      <w:r w:rsidRPr="00E84CF6">
        <w:rPr>
          <w:lang w:val="tr-TR"/>
        </w:rPr>
        <w:t xml:space="preserve">Being employed as at least a </w:t>
      </w:r>
      <w:r w:rsidRPr="00E84CF6">
        <w:rPr>
          <w:b/>
          <w:bCs/>
          <w:lang w:val="tr-TR"/>
        </w:rPr>
        <w:t>part-time academic staff member</w:t>
      </w:r>
      <w:r w:rsidRPr="00E84CF6">
        <w:rPr>
          <w:lang w:val="tr-TR"/>
        </w:rPr>
        <w:t xml:space="preserve"> at </w:t>
      </w:r>
      <w:r w:rsidR="005C4053">
        <w:rPr>
          <w:b/>
          <w:bCs/>
          <w:highlight w:val="yellow"/>
          <w:lang w:val="tr-TR"/>
        </w:rPr>
        <w:t xml:space="preserve">Abdelmalek Essaadi </w:t>
      </w:r>
      <w:r w:rsidRPr="00E84CF6">
        <w:rPr>
          <w:b/>
          <w:bCs/>
          <w:highlight w:val="yellow"/>
          <w:lang w:val="tr-TR"/>
        </w:rPr>
        <w:t>University</w:t>
      </w:r>
      <w:r>
        <w:rPr>
          <w:b/>
          <w:bCs/>
          <w:lang w:val="tr-TR"/>
        </w:rPr>
        <w:t>,</w:t>
      </w:r>
      <w:r w:rsidRPr="00E84CF6">
        <w:rPr>
          <w:b/>
          <w:bCs/>
          <w:lang w:val="tr-TR"/>
        </w:rPr>
        <w:t xml:space="preserve"> </w:t>
      </w:r>
      <w:r w:rsidR="00B2294F" w:rsidRPr="00E84CF6">
        <w:rPr>
          <w:b/>
          <w:bCs/>
          <w:highlight w:val="yellow"/>
          <w:lang w:val="tr-TR"/>
        </w:rPr>
        <w:t>the Faculty</w:t>
      </w:r>
      <w:r w:rsidR="00B2294F" w:rsidRPr="007B0469">
        <w:rPr>
          <w:b/>
          <w:bCs/>
          <w:lang w:val="tr-TR"/>
        </w:rPr>
        <w:t xml:space="preserve"> of Science and Technology</w:t>
      </w:r>
      <w:r w:rsidR="00B2294F" w:rsidRPr="00E84CF6">
        <w:rPr>
          <w:lang w:val="tr-TR"/>
        </w:rPr>
        <w:t xml:space="preserve"> </w:t>
      </w:r>
      <w:r w:rsidRPr="00E84CF6">
        <w:rPr>
          <w:lang w:val="tr-TR"/>
        </w:rPr>
        <w:t xml:space="preserve">and </w:t>
      </w:r>
      <w:r w:rsidRPr="00E84CF6">
        <w:rPr>
          <w:b/>
          <w:bCs/>
          <w:lang w:val="tr-TR"/>
        </w:rPr>
        <w:t>actively working</w:t>
      </w:r>
      <w:r w:rsidRPr="00E84CF6">
        <w:rPr>
          <w:lang w:val="tr-TR"/>
        </w:rPr>
        <w:t xml:space="preserve"> at </w:t>
      </w:r>
      <w:r w:rsidR="005C4053">
        <w:rPr>
          <w:b/>
          <w:bCs/>
          <w:highlight w:val="yellow"/>
          <w:lang w:val="tr-TR"/>
        </w:rPr>
        <w:t xml:space="preserve">Abdelmalek Essaadi </w:t>
      </w:r>
      <w:r w:rsidRPr="00E84CF6">
        <w:rPr>
          <w:b/>
          <w:bCs/>
          <w:highlight w:val="yellow"/>
          <w:lang w:val="tr-TR"/>
        </w:rPr>
        <w:t>University</w:t>
      </w:r>
      <w:r>
        <w:rPr>
          <w:b/>
          <w:bCs/>
          <w:lang w:val="tr-TR"/>
        </w:rPr>
        <w:t>.</w:t>
      </w:r>
    </w:p>
    <w:p w14:paraId="112FA4B4" w14:textId="77777777" w:rsidR="00E84CF6" w:rsidRPr="00E84CF6" w:rsidRDefault="00E84CF6" w:rsidP="00E84CF6">
      <w:pPr>
        <w:numPr>
          <w:ilvl w:val="0"/>
          <w:numId w:val="5"/>
        </w:numPr>
        <w:jc w:val="both"/>
        <w:rPr>
          <w:lang w:val="tr-TR"/>
        </w:rPr>
      </w:pPr>
      <w:r w:rsidRPr="00E84CF6">
        <w:rPr>
          <w:lang w:val="tr-TR"/>
        </w:rPr>
        <w:t>Academic staff whose official position is at another institution but who are working at a higher education institution under a contractual agreement must apply through the institution where they are actively employed, not where their official position is held. Personnel employed through service procurement are not eligible for staff mobility, as there is no contractual relationship between such personnel and the higher education institution.</w:t>
      </w:r>
    </w:p>
    <w:p w14:paraId="3AF68935" w14:textId="06D4554C" w:rsidR="00E84CF6" w:rsidRPr="00E84CF6" w:rsidRDefault="00E84CF6" w:rsidP="00E84CF6">
      <w:pPr>
        <w:pStyle w:val="ListParagraph"/>
        <w:numPr>
          <w:ilvl w:val="0"/>
          <w:numId w:val="5"/>
        </w:numPr>
        <w:jc w:val="both"/>
        <w:rPr>
          <w:lang w:val="tr-TR"/>
        </w:rPr>
      </w:pPr>
      <w:r w:rsidRPr="00E84CF6">
        <w:t xml:space="preserve">Demonstrating a minimum </w:t>
      </w:r>
      <w:r w:rsidRPr="00E84CF6">
        <w:rPr>
          <w:b/>
          <w:bCs/>
        </w:rPr>
        <w:t>B1 level of proficiency in English or Turkish</w:t>
      </w:r>
      <w:r w:rsidRPr="00E84CF6">
        <w:t>, documented by an official and valid certificate. The official language proficiency document must be provided at the time of application.</w:t>
      </w:r>
    </w:p>
    <w:p w14:paraId="0D793B16" w14:textId="77777777" w:rsidR="00E84CF6" w:rsidRPr="00E84CF6" w:rsidRDefault="00E84CF6" w:rsidP="00E84CF6">
      <w:pPr>
        <w:jc w:val="both"/>
        <w:rPr>
          <w:b/>
          <w:bCs/>
          <w:lang w:val="tr-TR"/>
        </w:rPr>
      </w:pPr>
      <w:r w:rsidRPr="00E84CF6">
        <w:rPr>
          <w:b/>
          <w:bCs/>
          <w:lang w:val="tr-TR"/>
        </w:rPr>
        <w:t>Quotas</w:t>
      </w:r>
    </w:p>
    <w:p w14:paraId="7EDC695F" w14:textId="1B94B3D2" w:rsidR="00E84CF6" w:rsidRPr="00E84CF6" w:rsidRDefault="005C4053" w:rsidP="00E84CF6">
      <w:pPr>
        <w:rPr>
          <w:lang w:val="tr-TR"/>
        </w:rPr>
      </w:pPr>
      <w:r>
        <w:rPr>
          <w:b/>
          <w:bCs/>
          <w:highlight w:val="yellow"/>
          <w:lang w:val="tr-TR"/>
        </w:rPr>
        <w:t>Morocco</w:t>
      </w:r>
      <w:r w:rsidR="00E84CF6" w:rsidRPr="00E84CF6">
        <w:rPr>
          <w:b/>
          <w:bCs/>
          <w:lang w:val="tr-TR"/>
        </w:rPr>
        <w:t xml:space="preserve"> – </w:t>
      </w:r>
      <w:r>
        <w:rPr>
          <w:b/>
          <w:bCs/>
          <w:highlight w:val="yellow"/>
          <w:lang w:val="tr-TR"/>
        </w:rPr>
        <w:t>Abdelmalek Essaadi</w:t>
      </w:r>
      <w:r w:rsidR="00E84CF6" w:rsidRPr="00E84CF6">
        <w:rPr>
          <w:b/>
          <w:bCs/>
          <w:highlight w:val="yellow"/>
          <w:lang w:val="tr-TR"/>
        </w:rPr>
        <w:t xml:space="preserve"> University</w:t>
      </w:r>
      <w:r w:rsidR="00E84CF6" w:rsidRPr="00E84CF6">
        <w:rPr>
          <w:lang w:val="tr-TR"/>
        </w:rPr>
        <w:br/>
        <w:t>Website:</w:t>
      </w:r>
      <w:r w:rsidR="00E84CF6">
        <w:rPr>
          <w:lang w:val="tr-TR"/>
        </w:rPr>
        <w:t xml:space="preserve"> </w:t>
      </w:r>
      <w:r>
        <w:rPr>
          <w:b/>
          <w:bCs/>
          <w:highlight w:val="yellow"/>
          <w:lang w:val="tr-TR"/>
        </w:rPr>
        <w:t>www.uae.ac.ma</w:t>
      </w:r>
    </w:p>
    <w:p w14:paraId="68C34C0F" w14:textId="77777777" w:rsidR="00E84CF6" w:rsidRPr="00E84CF6" w:rsidRDefault="00E84CF6" w:rsidP="00E84CF6">
      <w:pPr>
        <w:jc w:val="both"/>
        <w:rPr>
          <w:lang w:val="tr-TR"/>
        </w:rPr>
      </w:pPr>
      <w:r w:rsidRPr="00E84CF6">
        <w:rPr>
          <w:lang w:val="tr-TR"/>
        </w:rPr>
        <w:t xml:space="preserve">The </w:t>
      </w:r>
      <w:r w:rsidRPr="00E84CF6">
        <w:rPr>
          <w:b/>
          <w:bCs/>
          <w:lang w:val="tr-TR"/>
        </w:rPr>
        <w:t>total quota</w:t>
      </w:r>
      <w:r w:rsidRPr="00E84CF6">
        <w:rPr>
          <w:lang w:val="tr-TR"/>
        </w:rPr>
        <w:t xml:space="preserve"> for </w:t>
      </w:r>
      <w:r w:rsidRPr="00E84CF6">
        <w:rPr>
          <w:b/>
          <w:bCs/>
          <w:lang w:val="tr-TR"/>
        </w:rPr>
        <w:t>Academic Staff Teaching Mobility</w:t>
      </w:r>
      <w:r w:rsidRPr="00E84CF6">
        <w:rPr>
          <w:lang w:val="tr-TR"/>
        </w:rPr>
        <w:t xml:space="preserve"> is </w:t>
      </w:r>
      <w:r w:rsidRPr="00E84CF6">
        <w:rPr>
          <w:b/>
          <w:bCs/>
          <w:lang w:val="tr-TR"/>
        </w:rPr>
        <w:t>1 person</w:t>
      </w:r>
      <w:r w:rsidRPr="00E84CF6">
        <w:rPr>
          <w:lang w:val="tr-TR"/>
        </w:rPr>
        <w:t>.</w:t>
      </w:r>
    </w:p>
    <w:p w14:paraId="2749C0AE" w14:textId="4C8AE10A" w:rsidR="00E84CF6" w:rsidRPr="00E84CF6" w:rsidRDefault="00E84CF6" w:rsidP="00E84CF6">
      <w:pPr>
        <w:rPr>
          <w:lang w:val="tr-TR"/>
        </w:rPr>
      </w:pPr>
      <w:r w:rsidRPr="00E84CF6">
        <w:rPr>
          <w:b/>
          <w:bCs/>
          <w:lang w:val="tr-TR"/>
        </w:rPr>
        <w:t xml:space="preserve">Eligible Faculty </w:t>
      </w:r>
      <w:r w:rsidR="00B2294F" w:rsidRPr="007B0469">
        <w:rPr>
          <w:b/>
          <w:bCs/>
          <w:lang w:val="tr-TR"/>
        </w:rPr>
        <w:t>of Science and Technology</w:t>
      </w:r>
      <w:r w:rsidR="00B2294F">
        <w:rPr>
          <w:b/>
          <w:bCs/>
          <w:lang w:val="tr-TR"/>
        </w:rPr>
        <w:t xml:space="preserve"> </w:t>
      </w:r>
      <w:r w:rsidR="00B2294F" w:rsidRPr="00E84CF6">
        <w:rPr>
          <w:b/>
          <w:bCs/>
          <w:highlight w:val="yellow"/>
          <w:lang w:val="tr-TR"/>
        </w:rPr>
        <w:t xml:space="preserve"> </w:t>
      </w:r>
      <w:r w:rsidR="00B2294F" w:rsidRPr="00B2294F">
        <w:rPr>
          <w:b/>
          <w:bCs/>
          <w:highlight w:val="yellow"/>
        </w:rPr>
        <w:t>Moro</w:t>
      </w:r>
      <w:r w:rsidR="00B2294F">
        <w:rPr>
          <w:b/>
          <w:bCs/>
          <w:highlight w:val="yellow"/>
        </w:rPr>
        <w:t>cco</w:t>
      </w:r>
      <w:r w:rsidRPr="00E84CF6">
        <w:rPr>
          <w:b/>
          <w:bCs/>
          <w:lang w:val="tr-TR"/>
        </w:rPr>
        <w:t xml:space="preserve"> – </w:t>
      </w:r>
      <w:r w:rsidR="00B2294F">
        <w:rPr>
          <w:b/>
          <w:bCs/>
          <w:highlight w:val="yellow"/>
          <w:lang w:val="tr-TR"/>
        </w:rPr>
        <w:t>Abdelmalek Essaadi</w:t>
      </w:r>
      <w:r w:rsidR="00B2294F" w:rsidRPr="00E84CF6">
        <w:rPr>
          <w:b/>
          <w:bCs/>
          <w:highlight w:val="yellow"/>
          <w:lang w:val="tr-TR"/>
        </w:rPr>
        <w:t xml:space="preserve"> University</w:t>
      </w:r>
      <w:r>
        <w:rPr>
          <w:lang w:val="tr-TR"/>
        </w:rPr>
        <w:t>:</w:t>
      </w:r>
      <w:r w:rsidRPr="00E84CF6">
        <w:rPr>
          <w:lang w:val="tr-TR"/>
        </w:rPr>
        <w:br/>
      </w:r>
    </w:p>
    <w:p w14:paraId="4790655B" w14:textId="7F3DFED1" w:rsidR="00E84CF6" w:rsidRPr="00E84CF6" w:rsidRDefault="00E84CF6" w:rsidP="00E84CF6">
      <w:pPr>
        <w:jc w:val="both"/>
        <w:rPr>
          <w:lang w:val="tr-TR"/>
        </w:rPr>
      </w:pPr>
      <w:r w:rsidRPr="00E84CF6">
        <w:rPr>
          <w:b/>
          <w:bCs/>
          <w:lang w:val="tr-TR"/>
        </w:rPr>
        <w:t>Grants for Staff According to the Host Country</w:t>
      </w:r>
    </w:p>
    <w:p w14:paraId="2FC9F10A" w14:textId="77777777" w:rsidR="00B21825" w:rsidRPr="00B21825" w:rsidRDefault="00B21825" w:rsidP="00B21825">
      <w:pPr>
        <w:jc w:val="both"/>
        <w:rPr>
          <w:lang w:val="tr-TR"/>
        </w:rPr>
      </w:pPr>
      <w:r w:rsidRPr="00B21825">
        <w:rPr>
          <w:lang w:val="tr-TR"/>
        </w:rPr>
        <w:t>In order to receive a grant, academic staff are required to physically carry out the mobility activity.</w:t>
      </w:r>
    </w:p>
    <w:p w14:paraId="7130D263" w14:textId="77777777" w:rsidR="00B21825" w:rsidRPr="00B21825" w:rsidRDefault="00B21825" w:rsidP="00B21825">
      <w:pPr>
        <w:jc w:val="both"/>
        <w:rPr>
          <w:lang w:val="tr-TR"/>
        </w:rPr>
      </w:pPr>
      <w:r w:rsidRPr="00B21825">
        <w:rPr>
          <w:lang w:val="tr-TR"/>
        </w:rPr>
        <w:t>Academic staff who apply for and are accepted under the Erasmus+ KA171 Partner Countries Staff Mobility framework will be supported with a grant calculated based on the duration of their mobility.</w:t>
      </w:r>
    </w:p>
    <w:p w14:paraId="79042449" w14:textId="77777777" w:rsidR="00B21825" w:rsidRPr="00B21825" w:rsidRDefault="00B21825" w:rsidP="00B21825">
      <w:pPr>
        <w:jc w:val="both"/>
        <w:rPr>
          <w:lang w:val="tr-TR"/>
        </w:rPr>
      </w:pPr>
      <w:r w:rsidRPr="00B21825">
        <w:rPr>
          <w:lang w:val="tr-TR"/>
        </w:rPr>
        <w:t>Grant support will be provided for a total of 7 days, consisting of 5 days of activity plus 2 days for travel.</w:t>
      </w:r>
    </w:p>
    <w:p w14:paraId="2EF0FC55" w14:textId="77777777" w:rsidR="00B21825" w:rsidRDefault="00B21825" w:rsidP="00B21825">
      <w:pPr>
        <w:pStyle w:val="ListParagraph"/>
        <w:numPr>
          <w:ilvl w:val="0"/>
          <w:numId w:val="7"/>
        </w:numPr>
        <w:jc w:val="both"/>
        <w:rPr>
          <w:color w:val="C00000"/>
          <w:lang w:val="tr-TR"/>
        </w:rPr>
      </w:pPr>
      <w:r w:rsidRPr="00B21825">
        <w:rPr>
          <w:color w:val="C00000"/>
          <w:lang w:val="tr-TR"/>
        </w:rPr>
        <w:t>The grant payment for incoming staff will be made by the Host Institution’s International Relations Coordinatorship, which is responsible for Erasmus+ KA171 payments. The full grant amount (100%) will be paid in cash to the incoming staff member upon arrival.</w:t>
      </w:r>
    </w:p>
    <w:p w14:paraId="4D56431B" w14:textId="77777777" w:rsidR="00B21825" w:rsidRDefault="00B21825" w:rsidP="00B21825">
      <w:pPr>
        <w:jc w:val="both"/>
        <w:rPr>
          <w:color w:val="C00000"/>
          <w:lang w:val="tr-TR"/>
        </w:rPr>
      </w:pPr>
    </w:p>
    <w:p w14:paraId="6D4E44CE" w14:textId="77777777" w:rsidR="00B21825" w:rsidRDefault="00B21825" w:rsidP="00B21825">
      <w:pPr>
        <w:jc w:val="both"/>
        <w:rPr>
          <w:color w:val="C00000"/>
          <w:lang w:val="tr-TR"/>
        </w:rPr>
      </w:pPr>
    </w:p>
    <w:p w14:paraId="51B48FEB" w14:textId="77777777" w:rsidR="00B21825" w:rsidRPr="00B21825" w:rsidRDefault="00B21825" w:rsidP="00B21825">
      <w:pPr>
        <w:jc w:val="both"/>
        <w:rPr>
          <w:color w:val="C00000"/>
          <w:lang w:val="tr-TR"/>
        </w:rPr>
      </w:pPr>
    </w:p>
    <w:p w14:paraId="2115F3F4" w14:textId="4E02C401" w:rsidR="00E84CF6" w:rsidRPr="00E84CF6" w:rsidRDefault="00E84CF6" w:rsidP="00E84CF6">
      <w:pPr>
        <w:jc w:val="both"/>
        <w:rPr>
          <w:lang w:val="tr-TR"/>
        </w:rPr>
      </w:pPr>
      <w:r w:rsidRPr="00E84CF6">
        <w:rPr>
          <w:b/>
          <w:bCs/>
          <w:lang w:val="tr-TR"/>
        </w:rPr>
        <w:t>Daily Grant Amounts for Staff (in Euro)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82"/>
        <w:gridCol w:w="66"/>
        <w:gridCol w:w="81"/>
      </w:tblGrid>
      <w:tr w:rsidR="00B21825" w:rsidRPr="00E84CF6" w14:paraId="171B8319" w14:textId="77777777">
        <w:trPr>
          <w:tblHeader/>
          <w:tblCellSpacing w:w="15" w:type="dxa"/>
        </w:trPr>
        <w:tc>
          <w:tcPr>
            <w:tcW w:w="0" w:type="auto"/>
            <w:vAlign w:val="center"/>
          </w:tcPr>
          <w:tbl>
            <w:tblPr>
              <w:tblStyle w:val="TableNormal1"/>
              <w:tblW w:w="85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1912"/>
              <w:gridCol w:w="3685"/>
            </w:tblGrid>
            <w:tr w:rsidR="00B21825" w:rsidRPr="00780B5F" w14:paraId="2C748AA1" w14:textId="77777777" w:rsidTr="00B21825">
              <w:trPr>
                <w:trHeight w:val="276"/>
              </w:trPr>
              <w:tc>
                <w:tcPr>
                  <w:tcW w:w="2995" w:type="dxa"/>
                </w:tcPr>
                <w:p w14:paraId="266C557B" w14:textId="2B73608F" w:rsidR="00B21825" w:rsidRPr="00B21825" w:rsidRDefault="00B21825" w:rsidP="00B21825">
                  <w:pPr>
                    <w:pStyle w:val="TableParagraph"/>
                    <w:tabs>
                      <w:tab w:val="left" w:pos="8931"/>
                      <w:tab w:val="left" w:pos="9072"/>
                    </w:tabs>
                    <w:spacing w:line="276" w:lineRule="auto"/>
                    <w:ind w:left="0" w:right="3" w:firstLine="567"/>
                    <w:jc w:val="both"/>
                    <w:rPr>
                      <w:rFonts w:asciiTheme="majorHAnsi" w:hAnsiTheme="majorHAnsi"/>
                      <w:b/>
                    </w:rPr>
                  </w:pPr>
                  <w:r w:rsidRPr="00E84CF6">
                    <w:rPr>
                      <w:rFonts w:asciiTheme="majorHAnsi" w:hAnsiTheme="majorHAnsi"/>
                      <w:b/>
                      <w:bCs/>
                    </w:rPr>
                    <w:lastRenderedPageBreak/>
                    <w:t>Sending Country</w:t>
                  </w:r>
                </w:p>
              </w:tc>
              <w:tc>
                <w:tcPr>
                  <w:tcW w:w="1912" w:type="dxa"/>
                </w:tcPr>
                <w:p w14:paraId="2518245B" w14:textId="4C17DD09" w:rsidR="00B21825" w:rsidRPr="00B21825" w:rsidRDefault="00B21825" w:rsidP="00B21825">
                  <w:pPr>
                    <w:pStyle w:val="TableParagraph"/>
                    <w:tabs>
                      <w:tab w:val="left" w:pos="8931"/>
                      <w:tab w:val="left" w:pos="9072"/>
                    </w:tabs>
                    <w:spacing w:line="276" w:lineRule="auto"/>
                    <w:ind w:left="0" w:right="3" w:firstLine="567"/>
                    <w:jc w:val="both"/>
                    <w:rPr>
                      <w:rFonts w:asciiTheme="majorHAnsi" w:hAnsiTheme="majorHAnsi"/>
                      <w:b/>
                    </w:rPr>
                  </w:pPr>
                  <w:r w:rsidRPr="00E84CF6">
                    <w:rPr>
                      <w:rFonts w:asciiTheme="majorHAnsi" w:hAnsiTheme="majorHAnsi"/>
                      <w:b/>
                      <w:bCs/>
                    </w:rPr>
                    <w:t>Host Country</w:t>
                  </w:r>
                </w:p>
              </w:tc>
              <w:tc>
                <w:tcPr>
                  <w:tcW w:w="3685" w:type="dxa"/>
                </w:tcPr>
                <w:p w14:paraId="2A377447" w14:textId="54CB596C" w:rsidR="00B21825" w:rsidRPr="00B21825" w:rsidRDefault="00B21825" w:rsidP="00B21825">
                  <w:pPr>
                    <w:pStyle w:val="TableParagraph"/>
                    <w:tabs>
                      <w:tab w:val="left" w:pos="8931"/>
                      <w:tab w:val="left" w:pos="9072"/>
                    </w:tabs>
                    <w:spacing w:line="276" w:lineRule="auto"/>
                    <w:ind w:left="0" w:right="3" w:firstLine="567"/>
                    <w:jc w:val="both"/>
                    <w:rPr>
                      <w:rFonts w:asciiTheme="majorHAnsi" w:hAnsiTheme="majorHAnsi"/>
                      <w:b/>
                    </w:rPr>
                  </w:pPr>
                  <w:r w:rsidRPr="00E84CF6">
                    <w:rPr>
                      <w:rFonts w:asciiTheme="majorHAnsi" w:hAnsiTheme="majorHAnsi"/>
                      <w:b/>
                      <w:bCs/>
                    </w:rPr>
                    <w:t>Daily Grant Amount</w:t>
                  </w:r>
                  <w:r w:rsidRPr="00B21825">
                    <w:rPr>
                      <w:rFonts w:asciiTheme="majorHAnsi" w:hAnsiTheme="majorHAnsi"/>
                      <w:b/>
                      <w:bCs/>
                    </w:rPr>
                    <w:t xml:space="preserve"> (Euro)</w:t>
                  </w:r>
                </w:p>
              </w:tc>
            </w:tr>
            <w:tr w:rsidR="00B21825" w:rsidRPr="00780B5F" w14:paraId="1AF22BAD" w14:textId="77777777" w:rsidTr="00B21825">
              <w:trPr>
                <w:trHeight w:val="273"/>
              </w:trPr>
              <w:tc>
                <w:tcPr>
                  <w:tcW w:w="2995" w:type="dxa"/>
                </w:tcPr>
                <w:p w14:paraId="0DF71D3B" w14:textId="2FBCB55E" w:rsidR="00B21825" w:rsidRPr="00B21825" w:rsidRDefault="00B21825" w:rsidP="00B21825">
                  <w:pPr>
                    <w:pStyle w:val="TableParagraph"/>
                    <w:tabs>
                      <w:tab w:val="left" w:pos="8931"/>
                      <w:tab w:val="left" w:pos="9072"/>
                    </w:tabs>
                    <w:spacing w:line="276" w:lineRule="auto"/>
                    <w:ind w:left="0" w:right="3" w:firstLine="567"/>
                    <w:rPr>
                      <w:rFonts w:asciiTheme="majorHAnsi" w:hAnsiTheme="majorHAnsi"/>
                    </w:rPr>
                  </w:pPr>
                  <w:r w:rsidRPr="00E84CF6">
                    <w:rPr>
                      <w:rFonts w:asciiTheme="majorHAnsi" w:hAnsiTheme="majorHAnsi"/>
                    </w:rPr>
                    <w:t>Third Countries Not Associated to the Programme</w:t>
                  </w:r>
                </w:p>
              </w:tc>
              <w:tc>
                <w:tcPr>
                  <w:tcW w:w="1912" w:type="dxa"/>
                </w:tcPr>
                <w:p w14:paraId="5C2912A2" w14:textId="3B88A0C0" w:rsidR="00B21825" w:rsidRPr="00B21825" w:rsidRDefault="00B21825" w:rsidP="00B21825">
                  <w:pPr>
                    <w:pStyle w:val="TableParagraph"/>
                    <w:tabs>
                      <w:tab w:val="left" w:pos="8931"/>
                      <w:tab w:val="left" w:pos="9072"/>
                    </w:tabs>
                    <w:spacing w:line="276" w:lineRule="auto"/>
                    <w:ind w:left="0" w:right="3" w:firstLine="567"/>
                    <w:jc w:val="both"/>
                    <w:rPr>
                      <w:rFonts w:asciiTheme="majorHAnsi" w:hAnsiTheme="majorHAnsi"/>
                    </w:rPr>
                  </w:pPr>
                  <w:r w:rsidRPr="00B21825">
                    <w:rPr>
                      <w:rFonts w:asciiTheme="majorHAnsi" w:hAnsiTheme="majorHAnsi"/>
                    </w:rPr>
                    <w:t>Turkiye</w:t>
                  </w:r>
                </w:p>
              </w:tc>
              <w:tc>
                <w:tcPr>
                  <w:tcW w:w="3685" w:type="dxa"/>
                </w:tcPr>
                <w:p w14:paraId="2EBCC584" w14:textId="42FD3265" w:rsidR="00B21825" w:rsidRPr="00B21825" w:rsidRDefault="00B21825" w:rsidP="00B21825">
                  <w:pPr>
                    <w:pStyle w:val="TableParagraph"/>
                    <w:tabs>
                      <w:tab w:val="left" w:pos="8931"/>
                      <w:tab w:val="left" w:pos="9072"/>
                    </w:tabs>
                    <w:spacing w:line="276" w:lineRule="auto"/>
                    <w:ind w:left="0" w:right="3" w:firstLine="567"/>
                    <w:jc w:val="both"/>
                    <w:rPr>
                      <w:rFonts w:asciiTheme="majorHAnsi" w:hAnsiTheme="majorHAnsi"/>
                    </w:rPr>
                  </w:pPr>
                  <w:r w:rsidRPr="00B21825">
                    <w:rPr>
                      <w:rFonts w:asciiTheme="majorHAnsi" w:hAnsiTheme="majorHAnsi"/>
                      <w:highlight w:val="yellow"/>
                    </w:rPr>
                    <w:t>148 €</w:t>
                  </w:r>
                </w:p>
              </w:tc>
            </w:tr>
          </w:tbl>
          <w:p w14:paraId="0F4C6649" w14:textId="77777777" w:rsidR="00B21825" w:rsidRPr="00E84CF6" w:rsidRDefault="00B21825" w:rsidP="00E84CF6">
            <w:pPr>
              <w:jc w:val="both"/>
              <w:rPr>
                <w:b/>
                <w:bCs/>
                <w:lang w:val="tr-TR"/>
              </w:rPr>
            </w:pPr>
          </w:p>
        </w:tc>
        <w:tc>
          <w:tcPr>
            <w:tcW w:w="0" w:type="auto"/>
            <w:vAlign w:val="center"/>
          </w:tcPr>
          <w:p w14:paraId="00FCBB97" w14:textId="77777777" w:rsidR="00B21825" w:rsidRPr="00E84CF6" w:rsidRDefault="00B21825" w:rsidP="00E84CF6">
            <w:pPr>
              <w:jc w:val="both"/>
              <w:rPr>
                <w:b/>
                <w:bCs/>
                <w:lang w:val="tr-TR"/>
              </w:rPr>
            </w:pPr>
          </w:p>
        </w:tc>
        <w:tc>
          <w:tcPr>
            <w:tcW w:w="0" w:type="auto"/>
            <w:vAlign w:val="center"/>
          </w:tcPr>
          <w:p w14:paraId="7AB544C0" w14:textId="77777777" w:rsidR="00B21825" w:rsidRPr="00E84CF6" w:rsidRDefault="00B21825" w:rsidP="00E84CF6">
            <w:pPr>
              <w:jc w:val="both"/>
              <w:rPr>
                <w:b/>
                <w:bCs/>
                <w:lang w:val="tr-TR"/>
              </w:rPr>
            </w:pPr>
          </w:p>
        </w:tc>
      </w:tr>
    </w:tbl>
    <w:p w14:paraId="3480FD15" w14:textId="77777777" w:rsidR="00B21825" w:rsidRDefault="00B21825" w:rsidP="00E84CF6">
      <w:pPr>
        <w:jc w:val="both"/>
        <w:rPr>
          <w:b/>
          <w:bCs/>
          <w:lang w:val="tr-TR"/>
        </w:rPr>
      </w:pPr>
    </w:p>
    <w:p w14:paraId="7424359E" w14:textId="550B7B2B" w:rsidR="00E84CF6" w:rsidRPr="00E84CF6" w:rsidRDefault="00E84CF6" w:rsidP="00E84CF6">
      <w:pPr>
        <w:jc w:val="both"/>
        <w:rPr>
          <w:lang w:val="tr-TR"/>
        </w:rPr>
      </w:pPr>
      <w:r w:rsidRPr="00E84CF6">
        <w:rPr>
          <w:b/>
          <w:bCs/>
          <w:lang w:val="tr-TR"/>
        </w:rPr>
        <w:t>Travel Costs</w:t>
      </w:r>
    </w:p>
    <w:p w14:paraId="2C29DD85" w14:textId="77777777" w:rsidR="00E84CF6" w:rsidRDefault="00E84CF6" w:rsidP="00E84CF6">
      <w:pPr>
        <w:jc w:val="both"/>
        <w:rPr>
          <w:lang w:val="tr-TR"/>
        </w:rPr>
      </w:pPr>
      <w:r w:rsidRPr="00E84CF6">
        <w:rPr>
          <w:lang w:val="tr-TR"/>
        </w:rPr>
        <w:t xml:space="preserve">Travel costs shall be calculated using the </w:t>
      </w:r>
      <w:r w:rsidRPr="00E84CF6">
        <w:rPr>
          <w:b/>
          <w:bCs/>
          <w:lang w:val="tr-TR"/>
        </w:rPr>
        <w:t>Erasmus+ Distance Calculator</w:t>
      </w:r>
      <w:r w:rsidRPr="00E84CF6">
        <w:rPr>
          <w:lang w:val="tr-TR"/>
        </w:rPr>
        <w:t>.</w:t>
      </w:r>
      <w:r w:rsidRPr="00E84CF6">
        <w:rPr>
          <w:lang w:val="tr-TR"/>
        </w:rPr>
        <w:br/>
        <w:t>The distance calculator can be accessed via the link below:</w:t>
      </w:r>
      <w:r w:rsidRPr="00E84CF6">
        <w:rPr>
          <w:lang w:val="tr-TR"/>
        </w:rPr>
        <w:br/>
      </w:r>
      <w:hyperlink r:id="rId7" w:tgtFrame="_new" w:history="1">
        <w:r w:rsidRPr="00E84CF6">
          <w:rPr>
            <w:rStyle w:val="Hyperlink"/>
            <w:lang w:val="tr-TR"/>
          </w:rPr>
          <w:t>http://ec.europa.eu/programmes/erasmus-plus/tools/distance_en.htm</w:t>
        </w:r>
      </w:hyperlink>
    </w:p>
    <w:tbl>
      <w:tblPr>
        <w:tblW w:w="5241" w:type="pct"/>
        <w:tblInd w:w="-436" w:type="dxa"/>
        <w:tblLook w:val="04A0" w:firstRow="1" w:lastRow="0" w:firstColumn="1" w:lastColumn="0" w:noHBand="0" w:noVBand="1"/>
      </w:tblPr>
      <w:tblGrid>
        <w:gridCol w:w="3029"/>
        <w:gridCol w:w="2937"/>
        <w:gridCol w:w="3522"/>
      </w:tblGrid>
      <w:tr w:rsidR="00B21825" w:rsidRPr="00B21825" w14:paraId="28016BF5" w14:textId="77777777" w:rsidTr="00B21825">
        <w:trPr>
          <w:trHeight w:val="20"/>
        </w:trPr>
        <w:tc>
          <w:tcPr>
            <w:tcW w:w="1596" w:type="pct"/>
            <w:tcBorders>
              <w:top w:val="single" w:sz="8" w:space="0" w:color="000000"/>
              <w:left w:val="single" w:sz="8" w:space="0" w:color="000000"/>
              <w:bottom w:val="single" w:sz="8" w:space="0" w:color="000000"/>
              <w:right w:val="single" w:sz="8" w:space="0" w:color="000000"/>
            </w:tcBorders>
            <w:shd w:val="clear" w:color="auto" w:fill="92CDDC"/>
            <w:tcMar>
              <w:top w:w="0" w:type="dxa"/>
              <w:left w:w="0" w:type="dxa"/>
              <w:bottom w:w="0" w:type="dxa"/>
              <w:right w:w="0" w:type="dxa"/>
            </w:tcMar>
            <w:hideMark/>
          </w:tcPr>
          <w:p w14:paraId="49823854" w14:textId="59F40024" w:rsidR="00B21825" w:rsidRPr="00B21825" w:rsidRDefault="00B21825" w:rsidP="00B21825">
            <w:pPr>
              <w:widowControl w:val="0"/>
              <w:autoSpaceDE w:val="0"/>
              <w:autoSpaceDN w:val="0"/>
              <w:spacing w:after="0" w:line="240" w:lineRule="auto"/>
              <w:ind w:left="107"/>
              <w:jc w:val="both"/>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b/>
                <w:bCs/>
                <w:kern w:val="0"/>
                <w:bdr w:val="none" w:sz="0" w:space="0" w:color="auto" w:frame="1"/>
                <w:lang w:eastAsia="tr-TR"/>
                <w14:ligatures w14:val="none"/>
              </w:rPr>
              <w:t>Distance Band </w:t>
            </w:r>
          </w:p>
        </w:tc>
        <w:tc>
          <w:tcPr>
            <w:tcW w:w="1548" w:type="pct"/>
            <w:tcBorders>
              <w:top w:val="single" w:sz="8" w:space="0" w:color="000000"/>
              <w:left w:val="nil"/>
              <w:bottom w:val="single" w:sz="8" w:space="0" w:color="000000"/>
              <w:right w:val="single" w:sz="8" w:space="0" w:color="000000"/>
            </w:tcBorders>
            <w:shd w:val="clear" w:color="auto" w:fill="92CDDC"/>
            <w:tcMar>
              <w:top w:w="0" w:type="dxa"/>
              <w:left w:w="0" w:type="dxa"/>
              <w:bottom w:w="0" w:type="dxa"/>
              <w:right w:w="0" w:type="dxa"/>
            </w:tcMar>
            <w:hideMark/>
          </w:tcPr>
          <w:p w14:paraId="23B7B8D9" w14:textId="5520815D" w:rsidR="00B21825" w:rsidRPr="00B21825" w:rsidRDefault="00B21825" w:rsidP="00B21825">
            <w:pPr>
              <w:widowControl w:val="0"/>
              <w:autoSpaceDE w:val="0"/>
              <w:autoSpaceDN w:val="0"/>
              <w:spacing w:after="0" w:line="240" w:lineRule="auto"/>
              <w:ind w:left="1002" w:right="471" w:hanging="519"/>
              <w:jc w:val="both"/>
              <w:rPr>
                <w:rFonts w:asciiTheme="majorHAnsi" w:eastAsia="Times New Roman" w:hAnsiTheme="majorHAnsi" w:cs="Times New Roman"/>
                <w:kern w:val="0"/>
                <w:lang w:eastAsia="tr-TR"/>
                <w14:ligatures w14:val="none"/>
              </w:rPr>
            </w:pPr>
            <w:r w:rsidRPr="00B21825">
              <w:rPr>
                <w:rStyle w:val="Strong"/>
                <w:rFonts w:asciiTheme="majorHAnsi" w:hAnsiTheme="majorHAnsi"/>
              </w:rPr>
              <w:t>Standard Travel Grant Amount (€)</w:t>
            </w:r>
          </w:p>
        </w:tc>
        <w:tc>
          <w:tcPr>
            <w:tcW w:w="1856" w:type="pct"/>
            <w:tcBorders>
              <w:top w:val="single" w:sz="8" w:space="0" w:color="000000"/>
              <w:left w:val="nil"/>
              <w:bottom w:val="single" w:sz="8" w:space="0" w:color="000000"/>
              <w:right w:val="single" w:sz="8" w:space="0" w:color="000000"/>
            </w:tcBorders>
            <w:shd w:val="clear" w:color="auto" w:fill="92CDDC"/>
            <w:tcMar>
              <w:top w:w="0" w:type="dxa"/>
              <w:left w:w="0" w:type="dxa"/>
              <w:bottom w:w="0" w:type="dxa"/>
              <w:right w:w="0" w:type="dxa"/>
            </w:tcMar>
            <w:hideMark/>
          </w:tcPr>
          <w:p w14:paraId="5A3B1780" w14:textId="70FB01C2" w:rsidR="00B21825" w:rsidRPr="00B21825" w:rsidRDefault="00B21825" w:rsidP="00B21825">
            <w:pPr>
              <w:widowControl w:val="0"/>
              <w:autoSpaceDE w:val="0"/>
              <w:autoSpaceDN w:val="0"/>
              <w:spacing w:after="0" w:line="240" w:lineRule="auto"/>
              <w:ind w:left="1000" w:right="471" w:hanging="365"/>
              <w:jc w:val="center"/>
              <w:rPr>
                <w:rFonts w:asciiTheme="majorHAnsi" w:eastAsia="Times New Roman" w:hAnsiTheme="majorHAnsi" w:cs="Times New Roman"/>
                <w:b/>
                <w:bCs/>
                <w:kern w:val="0"/>
                <w:lang w:eastAsia="tr-TR"/>
                <w14:ligatures w14:val="none"/>
              </w:rPr>
            </w:pPr>
            <w:r w:rsidRPr="00B21825">
              <w:rPr>
                <w:rFonts w:asciiTheme="majorHAnsi" w:eastAsia="Times New Roman" w:hAnsiTheme="majorHAnsi" w:cs="Times New Roman"/>
                <w:b/>
                <w:bCs/>
                <w:kern w:val="0"/>
                <w:lang w:eastAsia="tr-TR"/>
                <w14:ligatures w14:val="none"/>
              </w:rPr>
              <w:t>Green Travel Grant Amount (€)</w:t>
            </w:r>
          </w:p>
        </w:tc>
      </w:tr>
      <w:tr w:rsidR="00B21825" w:rsidRPr="00B21825" w14:paraId="110F292A" w14:textId="77777777" w:rsidTr="00B21825">
        <w:trPr>
          <w:trHeight w:val="20"/>
        </w:trPr>
        <w:tc>
          <w:tcPr>
            <w:tcW w:w="1596" w:type="pct"/>
            <w:tcBorders>
              <w:top w:val="nil"/>
              <w:left w:val="single" w:sz="8" w:space="0" w:color="000000"/>
              <w:bottom w:val="single" w:sz="8" w:space="0" w:color="000000"/>
              <w:right w:val="single" w:sz="8" w:space="0" w:color="000000"/>
            </w:tcBorders>
            <w:shd w:val="clear" w:color="auto" w:fill="92CDDC"/>
            <w:tcMar>
              <w:top w:w="0" w:type="dxa"/>
              <w:left w:w="0" w:type="dxa"/>
              <w:bottom w:w="0" w:type="dxa"/>
              <w:right w:w="0" w:type="dxa"/>
            </w:tcMar>
            <w:hideMark/>
          </w:tcPr>
          <w:p w14:paraId="59976367" w14:textId="05725893" w:rsidR="00B21825" w:rsidRPr="00B21825" w:rsidRDefault="00B21825" w:rsidP="00B21825">
            <w:pPr>
              <w:widowControl w:val="0"/>
              <w:autoSpaceDE w:val="0"/>
              <w:autoSpaceDN w:val="0"/>
              <w:spacing w:after="0" w:line="240" w:lineRule="auto"/>
              <w:ind w:left="107"/>
              <w:jc w:val="both"/>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b/>
                <w:bCs/>
                <w:kern w:val="0"/>
                <w:bdr w:val="none" w:sz="0" w:space="0" w:color="auto" w:frame="1"/>
                <w:lang w:eastAsia="tr-TR"/>
                <w14:ligatures w14:val="none"/>
              </w:rPr>
              <w:t>10</w:t>
            </w:r>
            <w:r w:rsidRPr="00B21825">
              <w:rPr>
                <w:rFonts w:asciiTheme="majorHAnsi" w:eastAsia="Times New Roman" w:hAnsiTheme="majorHAnsi" w:cs="Times New Roman"/>
                <w:b/>
                <w:bCs/>
                <w:spacing w:val="-10"/>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and</w:t>
            </w:r>
            <w:r w:rsidRPr="00B21825">
              <w:rPr>
                <w:rFonts w:asciiTheme="majorHAnsi" w:eastAsia="Times New Roman" w:hAnsiTheme="majorHAnsi" w:cs="Times New Roman"/>
                <w:b/>
                <w:bCs/>
                <w:spacing w:val="-12"/>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99</w:t>
            </w:r>
            <w:r w:rsidRPr="00B21825">
              <w:rPr>
                <w:rFonts w:asciiTheme="majorHAnsi" w:eastAsia="Times New Roman" w:hAnsiTheme="majorHAnsi" w:cs="Times New Roman"/>
                <w:b/>
                <w:bCs/>
                <w:spacing w:val="-8"/>
                <w:kern w:val="0"/>
                <w:bdr w:val="none" w:sz="0" w:space="0" w:color="auto" w:frame="1"/>
                <w:lang w:eastAsia="tr-TR"/>
                <w14:ligatures w14:val="none"/>
              </w:rPr>
              <w:t> </w:t>
            </w:r>
            <w:r w:rsidRPr="00B21825">
              <w:rPr>
                <w:rFonts w:asciiTheme="majorHAnsi" w:eastAsia="Times New Roman" w:hAnsiTheme="majorHAnsi" w:cs="Times New Roman"/>
                <w:b/>
                <w:bCs/>
                <w:spacing w:val="-5"/>
                <w:kern w:val="0"/>
                <w:bdr w:val="none" w:sz="0" w:space="0" w:color="auto" w:frame="1"/>
                <w:lang w:eastAsia="tr-TR"/>
                <w14:ligatures w14:val="none"/>
              </w:rPr>
              <w:t>KM</w:t>
            </w:r>
            <w:r w:rsidRPr="00B21825">
              <w:rPr>
                <w:rFonts w:asciiTheme="majorHAnsi" w:eastAsia="Times New Roman" w:hAnsiTheme="majorHAnsi" w:cs="Times New Roman"/>
                <w:b/>
                <w:bCs/>
                <w:kern w:val="0"/>
                <w:bdr w:val="none" w:sz="0" w:space="0" w:color="auto" w:frame="1"/>
                <w:lang w:eastAsia="tr-TR"/>
                <w14:ligatures w14:val="none"/>
              </w:rPr>
              <w:t> </w:t>
            </w:r>
          </w:p>
        </w:tc>
        <w:tc>
          <w:tcPr>
            <w:tcW w:w="1548" w:type="pct"/>
            <w:tcBorders>
              <w:top w:val="nil"/>
              <w:left w:val="nil"/>
              <w:bottom w:val="single" w:sz="8" w:space="0" w:color="000000"/>
              <w:right w:val="single" w:sz="8" w:space="0" w:color="000000"/>
            </w:tcBorders>
            <w:tcMar>
              <w:top w:w="0" w:type="dxa"/>
              <w:left w:w="0" w:type="dxa"/>
              <w:bottom w:w="0" w:type="dxa"/>
              <w:right w:w="0" w:type="dxa"/>
            </w:tcMar>
            <w:hideMark/>
          </w:tcPr>
          <w:p w14:paraId="1FCD589C" w14:textId="77777777" w:rsidR="00B21825" w:rsidRPr="00B21825" w:rsidRDefault="00B21825" w:rsidP="00B21825">
            <w:pPr>
              <w:widowControl w:val="0"/>
              <w:autoSpaceDE w:val="0"/>
              <w:autoSpaceDN w:val="0"/>
              <w:spacing w:after="0" w:line="240" w:lineRule="auto"/>
              <w:ind w:left="1290" w:right="1270"/>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spacing w:val="-5"/>
                <w:kern w:val="0"/>
                <w:bdr w:val="none" w:sz="0" w:space="0" w:color="auto" w:frame="1"/>
                <w:lang w:eastAsia="tr-TR"/>
                <w14:ligatures w14:val="none"/>
              </w:rPr>
              <w:t>28</w:t>
            </w:r>
          </w:p>
        </w:tc>
        <w:tc>
          <w:tcPr>
            <w:tcW w:w="1856" w:type="pct"/>
            <w:tcBorders>
              <w:top w:val="nil"/>
              <w:left w:val="nil"/>
              <w:bottom w:val="single" w:sz="8" w:space="0" w:color="000000"/>
              <w:right w:val="single" w:sz="8" w:space="0" w:color="000000"/>
            </w:tcBorders>
            <w:tcMar>
              <w:top w:w="0" w:type="dxa"/>
              <w:left w:w="0" w:type="dxa"/>
              <w:bottom w:w="0" w:type="dxa"/>
              <w:right w:w="0" w:type="dxa"/>
            </w:tcMar>
            <w:hideMark/>
          </w:tcPr>
          <w:p w14:paraId="23CD2B9F" w14:textId="77777777" w:rsidR="00B21825" w:rsidRPr="00B21825" w:rsidRDefault="00B21825" w:rsidP="00B21825">
            <w:pPr>
              <w:widowControl w:val="0"/>
              <w:tabs>
                <w:tab w:val="center" w:pos="1755"/>
              </w:tabs>
              <w:autoSpaceDE w:val="0"/>
              <w:autoSpaceDN w:val="0"/>
              <w:spacing w:after="0" w:line="240" w:lineRule="auto"/>
              <w:ind w:left="9"/>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kern w:val="0"/>
                <w:lang w:eastAsia="tr-TR"/>
                <w14:ligatures w14:val="none"/>
              </w:rPr>
              <w:t>56</w:t>
            </w:r>
          </w:p>
        </w:tc>
      </w:tr>
      <w:tr w:rsidR="00B21825" w:rsidRPr="00B21825" w14:paraId="46B5E0F7" w14:textId="77777777" w:rsidTr="00B21825">
        <w:trPr>
          <w:trHeight w:val="20"/>
        </w:trPr>
        <w:tc>
          <w:tcPr>
            <w:tcW w:w="1596" w:type="pct"/>
            <w:tcBorders>
              <w:top w:val="nil"/>
              <w:left w:val="single" w:sz="8" w:space="0" w:color="000000"/>
              <w:bottom w:val="single" w:sz="8" w:space="0" w:color="000000"/>
              <w:right w:val="single" w:sz="8" w:space="0" w:color="000000"/>
            </w:tcBorders>
            <w:shd w:val="clear" w:color="auto" w:fill="92CDDC"/>
            <w:tcMar>
              <w:top w:w="0" w:type="dxa"/>
              <w:left w:w="0" w:type="dxa"/>
              <w:bottom w:w="0" w:type="dxa"/>
              <w:right w:w="0" w:type="dxa"/>
            </w:tcMar>
            <w:hideMark/>
          </w:tcPr>
          <w:p w14:paraId="0DAADECB" w14:textId="3562F35E" w:rsidR="00B21825" w:rsidRPr="00B21825" w:rsidRDefault="00B21825" w:rsidP="00B21825">
            <w:pPr>
              <w:widowControl w:val="0"/>
              <w:autoSpaceDE w:val="0"/>
              <w:autoSpaceDN w:val="0"/>
              <w:spacing w:after="0" w:line="240" w:lineRule="auto"/>
              <w:ind w:left="107"/>
              <w:jc w:val="both"/>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b/>
                <w:bCs/>
                <w:kern w:val="0"/>
                <w:bdr w:val="none" w:sz="0" w:space="0" w:color="auto" w:frame="1"/>
                <w:lang w:eastAsia="tr-TR"/>
                <w14:ligatures w14:val="none"/>
              </w:rPr>
              <w:t>100</w:t>
            </w:r>
            <w:r w:rsidRPr="00B21825">
              <w:rPr>
                <w:rFonts w:asciiTheme="majorHAnsi" w:eastAsia="Times New Roman" w:hAnsiTheme="majorHAnsi" w:cs="Times New Roman"/>
                <w:b/>
                <w:bCs/>
                <w:spacing w:val="-11"/>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and</w:t>
            </w:r>
            <w:r w:rsidRPr="00B21825">
              <w:rPr>
                <w:rFonts w:asciiTheme="majorHAnsi" w:eastAsia="Times New Roman" w:hAnsiTheme="majorHAnsi" w:cs="Times New Roman"/>
                <w:b/>
                <w:bCs/>
                <w:spacing w:val="-8"/>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499</w:t>
            </w:r>
            <w:r w:rsidRPr="00B21825">
              <w:rPr>
                <w:rFonts w:asciiTheme="majorHAnsi" w:eastAsia="Times New Roman" w:hAnsiTheme="majorHAnsi" w:cs="Times New Roman"/>
                <w:b/>
                <w:bCs/>
                <w:spacing w:val="-10"/>
                <w:kern w:val="0"/>
                <w:bdr w:val="none" w:sz="0" w:space="0" w:color="auto" w:frame="1"/>
                <w:lang w:eastAsia="tr-TR"/>
                <w14:ligatures w14:val="none"/>
              </w:rPr>
              <w:t> </w:t>
            </w:r>
            <w:r w:rsidRPr="00B21825">
              <w:rPr>
                <w:rFonts w:asciiTheme="majorHAnsi" w:eastAsia="Times New Roman" w:hAnsiTheme="majorHAnsi" w:cs="Times New Roman"/>
                <w:b/>
                <w:bCs/>
                <w:spacing w:val="-5"/>
                <w:kern w:val="0"/>
                <w:bdr w:val="none" w:sz="0" w:space="0" w:color="auto" w:frame="1"/>
                <w:lang w:eastAsia="tr-TR"/>
                <w14:ligatures w14:val="none"/>
              </w:rPr>
              <w:t>KM</w:t>
            </w:r>
            <w:r w:rsidRPr="00B21825">
              <w:rPr>
                <w:rFonts w:asciiTheme="majorHAnsi" w:eastAsia="Times New Roman" w:hAnsiTheme="majorHAnsi" w:cs="Times New Roman"/>
                <w:b/>
                <w:bCs/>
                <w:kern w:val="0"/>
                <w:bdr w:val="none" w:sz="0" w:space="0" w:color="auto" w:frame="1"/>
                <w:lang w:eastAsia="tr-TR"/>
                <w14:ligatures w14:val="none"/>
              </w:rPr>
              <w:t> </w:t>
            </w:r>
          </w:p>
        </w:tc>
        <w:tc>
          <w:tcPr>
            <w:tcW w:w="1548" w:type="pct"/>
            <w:tcBorders>
              <w:top w:val="nil"/>
              <w:left w:val="nil"/>
              <w:bottom w:val="single" w:sz="8" w:space="0" w:color="000000"/>
              <w:right w:val="single" w:sz="8" w:space="0" w:color="000000"/>
            </w:tcBorders>
            <w:tcMar>
              <w:top w:w="0" w:type="dxa"/>
              <w:left w:w="0" w:type="dxa"/>
              <w:bottom w:w="0" w:type="dxa"/>
              <w:right w:w="0" w:type="dxa"/>
            </w:tcMar>
            <w:hideMark/>
          </w:tcPr>
          <w:p w14:paraId="6F31BD80" w14:textId="77777777" w:rsidR="00B21825" w:rsidRPr="00B21825" w:rsidRDefault="00B21825" w:rsidP="00B21825">
            <w:pPr>
              <w:widowControl w:val="0"/>
              <w:autoSpaceDE w:val="0"/>
              <w:autoSpaceDN w:val="0"/>
              <w:spacing w:after="0" w:line="240" w:lineRule="auto"/>
              <w:ind w:left="1290" w:right="1270"/>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spacing w:val="-5"/>
                <w:kern w:val="0"/>
                <w:bdr w:val="none" w:sz="0" w:space="0" w:color="auto" w:frame="1"/>
                <w:lang w:eastAsia="tr-TR"/>
                <w14:ligatures w14:val="none"/>
              </w:rPr>
              <w:t>211</w:t>
            </w:r>
          </w:p>
        </w:tc>
        <w:tc>
          <w:tcPr>
            <w:tcW w:w="1856" w:type="pct"/>
            <w:tcBorders>
              <w:top w:val="nil"/>
              <w:left w:val="nil"/>
              <w:bottom w:val="single" w:sz="8" w:space="0" w:color="000000"/>
              <w:right w:val="single" w:sz="8" w:space="0" w:color="000000"/>
            </w:tcBorders>
            <w:tcMar>
              <w:top w:w="0" w:type="dxa"/>
              <w:left w:w="0" w:type="dxa"/>
              <w:bottom w:w="0" w:type="dxa"/>
              <w:right w:w="0" w:type="dxa"/>
            </w:tcMar>
            <w:hideMark/>
          </w:tcPr>
          <w:p w14:paraId="623FDAB3" w14:textId="77777777" w:rsidR="00B21825" w:rsidRPr="00B21825" w:rsidRDefault="00B21825" w:rsidP="00B21825">
            <w:pPr>
              <w:widowControl w:val="0"/>
              <w:autoSpaceDE w:val="0"/>
              <w:autoSpaceDN w:val="0"/>
              <w:spacing w:after="0" w:line="240" w:lineRule="auto"/>
              <w:ind w:left="1276" w:right="1270"/>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spacing w:val="-5"/>
                <w:kern w:val="0"/>
                <w:bdr w:val="none" w:sz="0" w:space="0" w:color="auto" w:frame="1"/>
                <w:lang w:eastAsia="tr-TR"/>
                <w14:ligatures w14:val="none"/>
              </w:rPr>
              <w:t>285</w:t>
            </w:r>
          </w:p>
        </w:tc>
      </w:tr>
      <w:tr w:rsidR="00B21825" w:rsidRPr="00B21825" w14:paraId="5BD22245" w14:textId="77777777" w:rsidTr="00B21825">
        <w:trPr>
          <w:trHeight w:val="20"/>
        </w:trPr>
        <w:tc>
          <w:tcPr>
            <w:tcW w:w="1596" w:type="pct"/>
            <w:tcBorders>
              <w:top w:val="nil"/>
              <w:left w:val="single" w:sz="8" w:space="0" w:color="000000"/>
              <w:bottom w:val="single" w:sz="8" w:space="0" w:color="000000"/>
              <w:right w:val="single" w:sz="8" w:space="0" w:color="000000"/>
            </w:tcBorders>
            <w:shd w:val="clear" w:color="auto" w:fill="92CDDC"/>
            <w:tcMar>
              <w:top w:w="0" w:type="dxa"/>
              <w:left w:w="0" w:type="dxa"/>
              <w:bottom w:w="0" w:type="dxa"/>
              <w:right w:w="0" w:type="dxa"/>
            </w:tcMar>
            <w:hideMark/>
          </w:tcPr>
          <w:p w14:paraId="4A8438B3" w14:textId="0210F599" w:rsidR="00B21825" w:rsidRPr="00B21825" w:rsidRDefault="00B21825" w:rsidP="00B21825">
            <w:pPr>
              <w:widowControl w:val="0"/>
              <w:autoSpaceDE w:val="0"/>
              <w:autoSpaceDN w:val="0"/>
              <w:spacing w:after="0" w:line="240" w:lineRule="auto"/>
              <w:ind w:left="107"/>
              <w:jc w:val="both"/>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b/>
                <w:bCs/>
                <w:kern w:val="0"/>
                <w:bdr w:val="none" w:sz="0" w:space="0" w:color="auto" w:frame="1"/>
                <w:lang w:eastAsia="tr-TR"/>
                <w14:ligatures w14:val="none"/>
              </w:rPr>
              <w:t>500</w:t>
            </w:r>
            <w:r w:rsidRPr="00B21825">
              <w:rPr>
                <w:rFonts w:asciiTheme="majorHAnsi" w:eastAsia="Times New Roman" w:hAnsiTheme="majorHAnsi" w:cs="Times New Roman"/>
                <w:b/>
                <w:bCs/>
                <w:spacing w:val="-9"/>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and</w:t>
            </w:r>
            <w:r w:rsidRPr="00B21825">
              <w:rPr>
                <w:rFonts w:asciiTheme="majorHAnsi" w:eastAsia="Times New Roman" w:hAnsiTheme="majorHAnsi" w:cs="Times New Roman"/>
                <w:b/>
                <w:bCs/>
                <w:spacing w:val="-8"/>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1999</w:t>
            </w:r>
            <w:r w:rsidRPr="00B21825">
              <w:rPr>
                <w:rFonts w:asciiTheme="majorHAnsi" w:eastAsia="Times New Roman" w:hAnsiTheme="majorHAnsi" w:cs="Times New Roman"/>
                <w:b/>
                <w:bCs/>
                <w:spacing w:val="-10"/>
                <w:kern w:val="0"/>
                <w:bdr w:val="none" w:sz="0" w:space="0" w:color="auto" w:frame="1"/>
                <w:lang w:eastAsia="tr-TR"/>
                <w14:ligatures w14:val="none"/>
              </w:rPr>
              <w:t> </w:t>
            </w:r>
            <w:r w:rsidRPr="00B21825">
              <w:rPr>
                <w:rFonts w:asciiTheme="majorHAnsi" w:eastAsia="Times New Roman" w:hAnsiTheme="majorHAnsi" w:cs="Times New Roman"/>
                <w:b/>
                <w:bCs/>
                <w:spacing w:val="-5"/>
                <w:kern w:val="0"/>
                <w:bdr w:val="none" w:sz="0" w:space="0" w:color="auto" w:frame="1"/>
                <w:lang w:eastAsia="tr-TR"/>
                <w14:ligatures w14:val="none"/>
              </w:rPr>
              <w:t>KM</w:t>
            </w:r>
            <w:r w:rsidRPr="00B21825">
              <w:rPr>
                <w:rFonts w:asciiTheme="majorHAnsi" w:eastAsia="Times New Roman" w:hAnsiTheme="majorHAnsi" w:cs="Times New Roman"/>
                <w:b/>
                <w:bCs/>
                <w:kern w:val="0"/>
                <w:bdr w:val="none" w:sz="0" w:space="0" w:color="auto" w:frame="1"/>
                <w:lang w:eastAsia="tr-TR"/>
                <w14:ligatures w14:val="none"/>
              </w:rPr>
              <w:t> </w:t>
            </w:r>
          </w:p>
        </w:tc>
        <w:tc>
          <w:tcPr>
            <w:tcW w:w="1548" w:type="pct"/>
            <w:tcBorders>
              <w:top w:val="nil"/>
              <w:left w:val="nil"/>
              <w:bottom w:val="single" w:sz="8" w:space="0" w:color="000000"/>
              <w:right w:val="single" w:sz="8" w:space="0" w:color="000000"/>
            </w:tcBorders>
            <w:tcMar>
              <w:top w:w="0" w:type="dxa"/>
              <w:left w:w="0" w:type="dxa"/>
              <w:bottom w:w="0" w:type="dxa"/>
              <w:right w:w="0" w:type="dxa"/>
            </w:tcMar>
            <w:hideMark/>
          </w:tcPr>
          <w:p w14:paraId="4D80041E" w14:textId="77777777" w:rsidR="00B21825" w:rsidRPr="00B21825" w:rsidRDefault="00B21825" w:rsidP="00B21825">
            <w:pPr>
              <w:widowControl w:val="0"/>
              <w:autoSpaceDE w:val="0"/>
              <w:autoSpaceDN w:val="0"/>
              <w:spacing w:after="0" w:line="240" w:lineRule="auto"/>
              <w:ind w:left="1290" w:right="1270"/>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spacing w:val="-5"/>
                <w:kern w:val="0"/>
                <w:bdr w:val="none" w:sz="0" w:space="0" w:color="auto" w:frame="1"/>
                <w:lang w:eastAsia="tr-TR"/>
                <w14:ligatures w14:val="none"/>
              </w:rPr>
              <w:t>309</w:t>
            </w:r>
          </w:p>
        </w:tc>
        <w:tc>
          <w:tcPr>
            <w:tcW w:w="1856" w:type="pct"/>
            <w:tcBorders>
              <w:top w:val="nil"/>
              <w:left w:val="nil"/>
              <w:bottom w:val="single" w:sz="8" w:space="0" w:color="000000"/>
              <w:right w:val="single" w:sz="8" w:space="0" w:color="000000"/>
            </w:tcBorders>
            <w:tcMar>
              <w:top w:w="0" w:type="dxa"/>
              <w:left w:w="0" w:type="dxa"/>
              <w:bottom w:w="0" w:type="dxa"/>
              <w:right w:w="0" w:type="dxa"/>
            </w:tcMar>
            <w:hideMark/>
          </w:tcPr>
          <w:p w14:paraId="432ACB9D" w14:textId="77777777" w:rsidR="00B21825" w:rsidRPr="00B21825" w:rsidRDefault="00B21825" w:rsidP="00B21825">
            <w:pPr>
              <w:widowControl w:val="0"/>
              <w:autoSpaceDE w:val="0"/>
              <w:autoSpaceDN w:val="0"/>
              <w:spacing w:after="0" w:line="240" w:lineRule="auto"/>
              <w:ind w:left="1276" w:right="1270"/>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spacing w:val="-5"/>
                <w:kern w:val="0"/>
                <w:bdr w:val="none" w:sz="0" w:space="0" w:color="auto" w:frame="1"/>
                <w:lang w:eastAsia="tr-TR"/>
                <w14:ligatures w14:val="none"/>
              </w:rPr>
              <w:t>417</w:t>
            </w:r>
          </w:p>
        </w:tc>
      </w:tr>
      <w:tr w:rsidR="00B21825" w:rsidRPr="00B21825" w14:paraId="61CE6061" w14:textId="77777777" w:rsidTr="00B21825">
        <w:trPr>
          <w:trHeight w:val="20"/>
        </w:trPr>
        <w:tc>
          <w:tcPr>
            <w:tcW w:w="1596" w:type="pct"/>
            <w:tcBorders>
              <w:top w:val="nil"/>
              <w:left w:val="single" w:sz="8" w:space="0" w:color="000000"/>
              <w:bottom w:val="single" w:sz="8" w:space="0" w:color="000000"/>
              <w:right w:val="single" w:sz="8" w:space="0" w:color="000000"/>
            </w:tcBorders>
            <w:shd w:val="clear" w:color="auto" w:fill="92CDDC"/>
            <w:tcMar>
              <w:top w:w="0" w:type="dxa"/>
              <w:left w:w="0" w:type="dxa"/>
              <w:bottom w:w="0" w:type="dxa"/>
              <w:right w:w="0" w:type="dxa"/>
            </w:tcMar>
            <w:hideMark/>
          </w:tcPr>
          <w:p w14:paraId="2779A1E9" w14:textId="34036A47" w:rsidR="00B21825" w:rsidRPr="00B21825" w:rsidRDefault="00B21825" w:rsidP="00B21825">
            <w:pPr>
              <w:widowControl w:val="0"/>
              <w:autoSpaceDE w:val="0"/>
              <w:autoSpaceDN w:val="0"/>
              <w:spacing w:after="0" w:line="240" w:lineRule="auto"/>
              <w:ind w:left="107"/>
              <w:jc w:val="both"/>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b/>
                <w:bCs/>
                <w:kern w:val="0"/>
                <w:bdr w:val="none" w:sz="0" w:space="0" w:color="auto" w:frame="1"/>
                <w:lang w:eastAsia="tr-TR"/>
                <w14:ligatures w14:val="none"/>
              </w:rPr>
              <w:t>2000</w:t>
            </w:r>
            <w:r w:rsidRPr="00B21825">
              <w:rPr>
                <w:rFonts w:asciiTheme="majorHAnsi" w:eastAsia="Times New Roman" w:hAnsiTheme="majorHAnsi" w:cs="Times New Roman"/>
                <w:b/>
                <w:bCs/>
                <w:spacing w:val="-9"/>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and</w:t>
            </w:r>
            <w:r w:rsidRPr="00B21825">
              <w:rPr>
                <w:rFonts w:asciiTheme="majorHAnsi" w:eastAsia="Times New Roman" w:hAnsiTheme="majorHAnsi" w:cs="Times New Roman"/>
                <w:b/>
                <w:bCs/>
                <w:spacing w:val="-8"/>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2999</w:t>
            </w:r>
            <w:r w:rsidRPr="00B21825">
              <w:rPr>
                <w:rFonts w:asciiTheme="majorHAnsi" w:eastAsia="Times New Roman" w:hAnsiTheme="majorHAnsi" w:cs="Times New Roman"/>
                <w:b/>
                <w:bCs/>
                <w:spacing w:val="-8"/>
                <w:kern w:val="0"/>
                <w:bdr w:val="none" w:sz="0" w:space="0" w:color="auto" w:frame="1"/>
                <w:lang w:eastAsia="tr-TR"/>
                <w14:ligatures w14:val="none"/>
              </w:rPr>
              <w:t> </w:t>
            </w:r>
            <w:r w:rsidRPr="00B21825">
              <w:rPr>
                <w:rFonts w:asciiTheme="majorHAnsi" w:eastAsia="Times New Roman" w:hAnsiTheme="majorHAnsi" w:cs="Times New Roman"/>
                <w:b/>
                <w:bCs/>
                <w:spacing w:val="-5"/>
                <w:kern w:val="0"/>
                <w:bdr w:val="none" w:sz="0" w:space="0" w:color="auto" w:frame="1"/>
                <w:lang w:eastAsia="tr-TR"/>
                <w14:ligatures w14:val="none"/>
              </w:rPr>
              <w:t>KM</w:t>
            </w:r>
          </w:p>
        </w:tc>
        <w:tc>
          <w:tcPr>
            <w:tcW w:w="1548" w:type="pct"/>
            <w:tcBorders>
              <w:top w:val="nil"/>
              <w:left w:val="nil"/>
              <w:bottom w:val="single" w:sz="8" w:space="0" w:color="000000"/>
              <w:right w:val="single" w:sz="8" w:space="0" w:color="000000"/>
            </w:tcBorders>
            <w:tcMar>
              <w:top w:w="0" w:type="dxa"/>
              <w:left w:w="0" w:type="dxa"/>
              <w:bottom w:w="0" w:type="dxa"/>
              <w:right w:w="0" w:type="dxa"/>
            </w:tcMar>
            <w:hideMark/>
          </w:tcPr>
          <w:p w14:paraId="00453041" w14:textId="77777777" w:rsidR="00B21825" w:rsidRPr="00B21825" w:rsidRDefault="00B21825" w:rsidP="00B21825">
            <w:pPr>
              <w:widowControl w:val="0"/>
              <w:autoSpaceDE w:val="0"/>
              <w:autoSpaceDN w:val="0"/>
              <w:spacing w:after="0" w:line="240" w:lineRule="auto"/>
              <w:ind w:left="1290" w:right="1270"/>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spacing w:val="-5"/>
                <w:kern w:val="0"/>
                <w:bdr w:val="none" w:sz="0" w:space="0" w:color="auto" w:frame="1"/>
                <w:lang w:eastAsia="tr-TR"/>
                <w14:ligatures w14:val="none"/>
              </w:rPr>
              <w:t>395</w:t>
            </w:r>
          </w:p>
        </w:tc>
        <w:tc>
          <w:tcPr>
            <w:tcW w:w="1856" w:type="pct"/>
            <w:tcBorders>
              <w:top w:val="nil"/>
              <w:left w:val="nil"/>
              <w:bottom w:val="single" w:sz="8" w:space="0" w:color="000000"/>
              <w:right w:val="single" w:sz="8" w:space="0" w:color="000000"/>
            </w:tcBorders>
            <w:tcMar>
              <w:top w:w="0" w:type="dxa"/>
              <w:left w:w="0" w:type="dxa"/>
              <w:bottom w:w="0" w:type="dxa"/>
              <w:right w:w="0" w:type="dxa"/>
            </w:tcMar>
            <w:hideMark/>
          </w:tcPr>
          <w:p w14:paraId="7958E176" w14:textId="77777777" w:rsidR="00B21825" w:rsidRPr="00B21825" w:rsidRDefault="00B21825" w:rsidP="00B21825">
            <w:pPr>
              <w:widowControl w:val="0"/>
              <w:autoSpaceDE w:val="0"/>
              <w:autoSpaceDN w:val="0"/>
              <w:spacing w:after="0" w:line="240" w:lineRule="auto"/>
              <w:ind w:left="1276" w:right="1270"/>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spacing w:val="-5"/>
                <w:kern w:val="0"/>
                <w:bdr w:val="none" w:sz="0" w:space="0" w:color="auto" w:frame="1"/>
                <w:lang w:eastAsia="tr-TR"/>
                <w14:ligatures w14:val="none"/>
              </w:rPr>
              <w:t>535</w:t>
            </w:r>
          </w:p>
        </w:tc>
      </w:tr>
      <w:tr w:rsidR="00B21825" w:rsidRPr="00B21825" w14:paraId="351B00F7" w14:textId="77777777" w:rsidTr="00B21825">
        <w:trPr>
          <w:trHeight w:val="20"/>
        </w:trPr>
        <w:tc>
          <w:tcPr>
            <w:tcW w:w="1596" w:type="pct"/>
            <w:tcBorders>
              <w:top w:val="nil"/>
              <w:left w:val="single" w:sz="8" w:space="0" w:color="000000"/>
              <w:bottom w:val="single" w:sz="8" w:space="0" w:color="000000"/>
              <w:right w:val="single" w:sz="8" w:space="0" w:color="000000"/>
            </w:tcBorders>
            <w:shd w:val="clear" w:color="auto" w:fill="92CDDC"/>
            <w:tcMar>
              <w:top w:w="0" w:type="dxa"/>
              <w:left w:w="0" w:type="dxa"/>
              <w:bottom w:w="0" w:type="dxa"/>
              <w:right w:w="0" w:type="dxa"/>
            </w:tcMar>
            <w:hideMark/>
          </w:tcPr>
          <w:p w14:paraId="455462D9" w14:textId="7DD98CF3" w:rsidR="00B21825" w:rsidRPr="00B21825" w:rsidRDefault="00B21825" w:rsidP="00B21825">
            <w:pPr>
              <w:widowControl w:val="0"/>
              <w:autoSpaceDE w:val="0"/>
              <w:autoSpaceDN w:val="0"/>
              <w:spacing w:after="0" w:line="240" w:lineRule="auto"/>
              <w:ind w:left="107"/>
              <w:jc w:val="both"/>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b/>
                <w:bCs/>
                <w:kern w:val="0"/>
                <w:bdr w:val="none" w:sz="0" w:space="0" w:color="auto" w:frame="1"/>
                <w:lang w:eastAsia="tr-TR"/>
                <w14:ligatures w14:val="none"/>
              </w:rPr>
              <w:t>3000</w:t>
            </w:r>
            <w:r w:rsidRPr="00B21825">
              <w:rPr>
                <w:rFonts w:asciiTheme="majorHAnsi" w:eastAsia="Times New Roman" w:hAnsiTheme="majorHAnsi" w:cs="Times New Roman"/>
                <w:b/>
                <w:bCs/>
                <w:spacing w:val="-9"/>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and</w:t>
            </w:r>
            <w:r w:rsidRPr="00B21825">
              <w:rPr>
                <w:rFonts w:asciiTheme="majorHAnsi" w:eastAsia="Times New Roman" w:hAnsiTheme="majorHAnsi" w:cs="Times New Roman"/>
                <w:b/>
                <w:bCs/>
                <w:spacing w:val="-8"/>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3999</w:t>
            </w:r>
            <w:r w:rsidRPr="00B21825">
              <w:rPr>
                <w:rFonts w:asciiTheme="majorHAnsi" w:eastAsia="Times New Roman" w:hAnsiTheme="majorHAnsi" w:cs="Times New Roman"/>
                <w:b/>
                <w:bCs/>
                <w:spacing w:val="-8"/>
                <w:kern w:val="0"/>
                <w:bdr w:val="none" w:sz="0" w:space="0" w:color="auto" w:frame="1"/>
                <w:lang w:eastAsia="tr-TR"/>
                <w14:ligatures w14:val="none"/>
              </w:rPr>
              <w:t> </w:t>
            </w:r>
            <w:r w:rsidRPr="00B21825">
              <w:rPr>
                <w:rFonts w:asciiTheme="majorHAnsi" w:eastAsia="Times New Roman" w:hAnsiTheme="majorHAnsi" w:cs="Times New Roman"/>
                <w:b/>
                <w:bCs/>
                <w:spacing w:val="-5"/>
                <w:kern w:val="0"/>
                <w:bdr w:val="none" w:sz="0" w:space="0" w:color="auto" w:frame="1"/>
                <w:lang w:eastAsia="tr-TR"/>
                <w14:ligatures w14:val="none"/>
              </w:rPr>
              <w:t>KM</w:t>
            </w:r>
            <w:r w:rsidRPr="00B21825">
              <w:rPr>
                <w:rFonts w:asciiTheme="majorHAnsi" w:eastAsia="Times New Roman" w:hAnsiTheme="majorHAnsi" w:cs="Times New Roman"/>
                <w:b/>
                <w:bCs/>
                <w:kern w:val="0"/>
                <w:bdr w:val="none" w:sz="0" w:space="0" w:color="auto" w:frame="1"/>
                <w:lang w:eastAsia="tr-TR"/>
                <w14:ligatures w14:val="none"/>
              </w:rPr>
              <w:t> </w:t>
            </w:r>
          </w:p>
        </w:tc>
        <w:tc>
          <w:tcPr>
            <w:tcW w:w="1548" w:type="pct"/>
            <w:tcBorders>
              <w:top w:val="nil"/>
              <w:left w:val="nil"/>
              <w:bottom w:val="single" w:sz="8" w:space="0" w:color="000000"/>
              <w:right w:val="single" w:sz="8" w:space="0" w:color="000000"/>
            </w:tcBorders>
            <w:tcMar>
              <w:top w:w="0" w:type="dxa"/>
              <w:left w:w="0" w:type="dxa"/>
              <w:bottom w:w="0" w:type="dxa"/>
              <w:right w:w="0" w:type="dxa"/>
            </w:tcMar>
            <w:hideMark/>
          </w:tcPr>
          <w:p w14:paraId="5160F11A" w14:textId="77777777" w:rsidR="00B21825" w:rsidRPr="00B21825" w:rsidRDefault="00B21825" w:rsidP="00B21825">
            <w:pPr>
              <w:widowControl w:val="0"/>
              <w:autoSpaceDE w:val="0"/>
              <w:autoSpaceDN w:val="0"/>
              <w:spacing w:after="0" w:line="240" w:lineRule="auto"/>
              <w:ind w:left="1290" w:right="1270"/>
              <w:jc w:val="center"/>
              <w:rPr>
                <w:rFonts w:asciiTheme="majorHAnsi" w:eastAsia="Times New Roman" w:hAnsiTheme="majorHAnsi" w:cs="Times New Roman"/>
                <w:b/>
                <w:bCs/>
                <w:kern w:val="0"/>
                <w:lang w:eastAsia="tr-TR"/>
                <w14:ligatures w14:val="none"/>
              </w:rPr>
            </w:pPr>
            <w:r w:rsidRPr="00B21825">
              <w:rPr>
                <w:rFonts w:asciiTheme="majorHAnsi" w:eastAsia="Times New Roman" w:hAnsiTheme="majorHAnsi" w:cs="Times New Roman"/>
                <w:kern w:val="0"/>
                <w:lang w:eastAsia="tr-TR"/>
                <w14:ligatures w14:val="none"/>
              </w:rPr>
              <w:t>580</w:t>
            </w:r>
          </w:p>
        </w:tc>
        <w:tc>
          <w:tcPr>
            <w:tcW w:w="1856" w:type="pct"/>
            <w:tcBorders>
              <w:top w:val="nil"/>
              <w:left w:val="nil"/>
              <w:bottom w:val="single" w:sz="8" w:space="0" w:color="000000"/>
              <w:right w:val="single" w:sz="8" w:space="0" w:color="000000"/>
            </w:tcBorders>
            <w:tcMar>
              <w:top w:w="0" w:type="dxa"/>
              <w:left w:w="0" w:type="dxa"/>
              <w:bottom w:w="0" w:type="dxa"/>
              <w:right w:w="0" w:type="dxa"/>
            </w:tcMar>
            <w:hideMark/>
          </w:tcPr>
          <w:p w14:paraId="0F0E5D39" w14:textId="77777777" w:rsidR="00B21825" w:rsidRPr="00B21825" w:rsidRDefault="00B21825" w:rsidP="00B21825">
            <w:pPr>
              <w:widowControl w:val="0"/>
              <w:autoSpaceDE w:val="0"/>
              <w:autoSpaceDN w:val="0"/>
              <w:spacing w:after="0" w:line="240" w:lineRule="auto"/>
              <w:ind w:left="1276" w:right="1270"/>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spacing w:val="-5"/>
                <w:kern w:val="0"/>
                <w:bdr w:val="none" w:sz="0" w:space="0" w:color="auto" w:frame="1"/>
                <w:lang w:eastAsia="tr-TR"/>
                <w14:ligatures w14:val="none"/>
              </w:rPr>
              <w:t>785</w:t>
            </w:r>
          </w:p>
        </w:tc>
      </w:tr>
      <w:tr w:rsidR="00B21825" w:rsidRPr="00B21825" w14:paraId="1A834172" w14:textId="77777777" w:rsidTr="00B21825">
        <w:trPr>
          <w:trHeight w:val="20"/>
        </w:trPr>
        <w:tc>
          <w:tcPr>
            <w:tcW w:w="1596" w:type="pct"/>
            <w:tcBorders>
              <w:top w:val="nil"/>
              <w:left w:val="single" w:sz="8" w:space="0" w:color="000000"/>
              <w:bottom w:val="single" w:sz="8" w:space="0" w:color="000000"/>
              <w:right w:val="single" w:sz="8" w:space="0" w:color="000000"/>
            </w:tcBorders>
            <w:shd w:val="clear" w:color="auto" w:fill="92CDDC"/>
            <w:tcMar>
              <w:top w:w="0" w:type="dxa"/>
              <w:left w:w="0" w:type="dxa"/>
              <w:bottom w:w="0" w:type="dxa"/>
              <w:right w:w="0" w:type="dxa"/>
            </w:tcMar>
            <w:hideMark/>
          </w:tcPr>
          <w:p w14:paraId="6800D27A" w14:textId="73F75341" w:rsidR="00B21825" w:rsidRPr="00B21825" w:rsidRDefault="00B21825" w:rsidP="00B21825">
            <w:pPr>
              <w:widowControl w:val="0"/>
              <w:autoSpaceDE w:val="0"/>
              <w:autoSpaceDN w:val="0"/>
              <w:spacing w:after="0" w:line="240" w:lineRule="auto"/>
              <w:ind w:left="107"/>
              <w:jc w:val="both"/>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b/>
                <w:bCs/>
                <w:kern w:val="0"/>
                <w:bdr w:val="none" w:sz="0" w:space="0" w:color="auto" w:frame="1"/>
                <w:lang w:eastAsia="tr-TR"/>
                <w14:ligatures w14:val="none"/>
              </w:rPr>
              <w:t>4000</w:t>
            </w:r>
            <w:r w:rsidRPr="00B21825">
              <w:rPr>
                <w:rFonts w:asciiTheme="majorHAnsi" w:eastAsia="Times New Roman" w:hAnsiTheme="majorHAnsi" w:cs="Times New Roman"/>
                <w:b/>
                <w:bCs/>
                <w:spacing w:val="-9"/>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and</w:t>
            </w:r>
            <w:r w:rsidRPr="00B21825">
              <w:rPr>
                <w:rFonts w:asciiTheme="majorHAnsi" w:eastAsia="Times New Roman" w:hAnsiTheme="majorHAnsi" w:cs="Times New Roman"/>
                <w:b/>
                <w:bCs/>
                <w:spacing w:val="-8"/>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7999</w:t>
            </w:r>
            <w:r w:rsidRPr="00B21825">
              <w:rPr>
                <w:rFonts w:asciiTheme="majorHAnsi" w:eastAsia="Times New Roman" w:hAnsiTheme="majorHAnsi" w:cs="Times New Roman"/>
                <w:b/>
                <w:bCs/>
                <w:spacing w:val="-8"/>
                <w:kern w:val="0"/>
                <w:bdr w:val="none" w:sz="0" w:space="0" w:color="auto" w:frame="1"/>
                <w:lang w:eastAsia="tr-TR"/>
                <w14:ligatures w14:val="none"/>
              </w:rPr>
              <w:t> </w:t>
            </w:r>
            <w:r w:rsidRPr="00B21825">
              <w:rPr>
                <w:rFonts w:asciiTheme="majorHAnsi" w:eastAsia="Times New Roman" w:hAnsiTheme="majorHAnsi" w:cs="Times New Roman"/>
                <w:b/>
                <w:bCs/>
                <w:spacing w:val="-5"/>
                <w:kern w:val="0"/>
                <w:bdr w:val="none" w:sz="0" w:space="0" w:color="auto" w:frame="1"/>
                <w:lang w:eastAsia="tr-TR"/>
                <w14:ligatures w14:val="none"/>
              </w:rPr>
              <w:t>KM</w:t>
            </w:r>
            <w:r w:rsidRPr="00B21825">
              <w:rPr>
                <w:rFonts w:asciiTheme="majorHAnsi" w:eastAsia="Times New Roman" w:hAnsiTheme="majorHAnsi" w:cs="Times New Roman"/>
                <w:b/>
                <w:bCs/>
                <w:kern w:val="0"/>
                <w:bdr w:val="none" w:sz="0" w:space="0" w:color="auto" w:frame="1"/>
                <w:lang w:eastAsia="tr-TR"/>
                <w14:ligatures w14:val="none"/>
              </w:rPr>
              <w:t> </w:t>
            </w:r>
          </w:p>
        </w:tc>
        <w:tc>
          <w:tcPr>
            <w:tcW w:w="1548" w:type="pct"/>
            <w:tcBorders>
              <w:top w:val="nil"/>
              <w:left w:val="nil"/>
              <w:bottom w:val="single" w:sz="8" w:space="0" w:color="000000"/>
              <w:right w:val="single" w:sz="8" w:space="0" w:color="000000"/>
            </w:tcBorders>
            <w:tcMar>
              <w:top w:w="0" w:type="dxa"/>
              <w:left w:w="0" w:type="dxa"/>
              <w:bottom w:w="0" w:type="dxa"/>
              <w:right w:w="0" w:type="dxa"/>
            </w:tcMar>
            <w:hideMark/>
          </w:tcPr>
          <w:p w14:paraId="02978EDB" w14:textId="77777777" w:rsidR="00B21825" w:rsidRPr="00B21825" w:rsidRDefault="00B21825" w:rsidP="00B21825">
            <w:pPr>
              <w:widowControl w:val="0"/>
              <w:autoSpaceDE w:val="0"/>
              <w:autoSpaceDN w:val="0"/>
              <w:spacing w:after="0" w:line="240" w:lineRule="auto"/>
              <w:ind w:right="1270"/>
              <w:jc w:val="right"/>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spacing w:val="-4"/>
                <w:kern w:val="0"/>
                <w:bdr w:val="none" w:sz="0" w:space="0" w:color="auto" w:frame="1"/>
                <w:lang w:eastAsia="tr-TR"/>
                <w14:ligatures w14:val="none"/>
              </w:rPr>
              <w:t>1188</w:t>
            </w:r>
          </w:p>
        </w:tc>
        <w:tc>
          <w:tcPr>
            <w:tcW w:w="1856" w:type="pct"/>
            <w:tcBorders>
              <w:top w:val="nil"/>
              <w:left w:val="nil"/>
              <w:bottom w:val="single" w:sz="8" w:space="0" w:color="000000"/>
              <w:right w:val="single" w:sz="8" w:space="0" w:color="000000"/>
            </w:tcBorders>
            <w:tcMar>
              <w:top w:w="0" w:type="dxa"/>
              <w:left w:w="0" w:type="dxa"/>
              <w:bottom w:w="0" w:type="dxa"/>
              <w:right w:w="0" w:type="dxa"/>
            </w:tcMar>
            <w:hideMark/>
          </w:tcPr>
          <w:p w14:paraId="0B5016B1" w14:textId="77777777" w:rsidR="00B21825" w:rsidRPr="00B21825" w:rsidRDefault="00B21825" w:rsidP="00B21825">
            <w:pPr>
              <w:widowControl w:val="0"/>
              <w:autoSpaceDE w:val="0"/>
              <w:autoSpaceDN w:val="0"/>
              <w:spacing w:after="0" w:line="240" w:lineRule="auto"/>
              <w:ind w:left="9"/>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kern w:val="0"/>
                <w:lang w:eastAsia="tr-TR"/>
                <w14:ligatures w14:val="none"/>
              </w:rPr>
              <w:t>1188</w:t>
            </w:r>
          </w:p>
        </w:tc>
      </w:tr>
      <w:tr w:rsidR="00B21825" w:rsidRPr="00B21825" w14:paraId="1E34714A" w14:textId="77777777" w:rsidTr="00B21825">
        <w:trPr>
          <w:trHeight w:val="20"/>
        </w:trPr>
        <w:tc>
          <w:tcPr>
            <w:tcW w:w="1596" w:type="pct"/>
            <w:tcBorders>
              <w:top w:val="nil"/>
              <w:left w:val="single" w:sz="8" w:space="0" w:color="000000"/>
              <w:bottom w:val="single" w:sz="8" w:space="0" w:color="000000"/>
              <w:right w:val="single" w:sz="8" w:space="0" w:color="000000"/>
            </w:tcBorders>
            <w:shd w:val="clear" w:color="auto" w:fill="92CDDC"/>
            <w:tcMar>
              <w:top w:w="0" w:type="dxa"/>
              <w:left w:w="0" w:type="dxa"/>
              <w:bottom w:w="0" w:type="dxa"/>
              <w:right w:w="0" w:type="dxa"/>
            </w:tcMar>
            <w:hideMark/>
          </w:tcPr>
          <w:p w14:paraId="38728547" w14:textId="56996480" w:rsidR="00B21825" w:rsidRPr="00B21825" w:rsidRDefault="00B21825" w:rsidP="00B21825">
            <w:pPr>
              <w:widowControl w:val="0"/>
              <w:autoSpaceDE w:val="0"/>
              <w:autoSpaceDN w:val="0"/>
              <w:spacing w:after="0" w:line="240" w:lineRule="auto"/>
              <w:ind w:left="107"/>
              <w:jc w:val="both"/>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b/>
                <w:bCs/>
                <w:kern w:val="0"/>
                <w:bdr w:val="none" w:sz="0" w:space="0" w:color="auto" w:frame="1"/>
                <w:lang w:eastAsia="tr-TR"/>
                <w14:ligatures w14:val="none"/>
              </w:rPr>
              <w:t>8000</w:t>
            </w:r>
            <w:r w:rsidRPr="00B21825">
              <w:rPr>
                <w:rFonts w:asciiTheme="majorHAnsi" w:eastAsia="Times New Roman" w:hAnsiTheme="majorHAnsi" w:cs="Times New Roman"/>
                <w:b/>
                <w:bCs/>
                <w:spacing w:val="-2"/>
                <w:kern w:val="0"/>
                <w:bdr w:val="none" w:sz="0" w:space="0" w:color="auto" w:frame="1"/>
                <w:lang w:eastAsia="tr-TR"/>
                <w14:ligatures w14:val="none"/>
              </w:rPr>
              <w:t> </w:t>
            </w:r>
            <w:r w:rsidRPr="00B21825">
              <w:rPr>
                <w:rFonts w:asciiTheme="majorHAnsi" w:eastAsia="Times New Roman" w:hAnsiTheme="majorHAnsi" w:cs="Times New Roman"/>
                <w:b/>
                <w:bCs/>
                <w:kern w:val="0"/>
                <w:bdr w:val="none" w:sz="0" w:space="0" w:color="auto" w:frame="1"/>
                <w:lang w:eastAsia="tr-TR"/>
                <w14:ligatures w14:val="none"/>
              </w:rPr>
              <w:t>KM</w:t>
            </w:r>
            <w:r w:rsidRPr="00B21825">
              <w:rPr>
                <w:rFonts w:asciiTheme="majorHAnsi" w:eastAsia="Times New Roman" w:hAnsiTheme="majorHAnsi" w:cs="Times New Roman"/>
                <w:b/>
                <w:bCs/>
                <w:spacing w:val="-2"/>
                <w:kern w:val="0"/>
                <w:bdr w:val="none" w:sz="0" w:space="0" w:color="auto" w:frame="1"/>
                <w:lang w:eastAsia="tr-TR"/>
                <w14:ligatures w14:val="none"/>
              </w:rPr>
              <w:t> and above</w:t>
            </w:r>
          </w:p>
        </w:tc>
        <w:tc>
          <w:tcPr>
            <w:tcW w:w="1548" w:type="pct"/>
            <w:tcBorders>
              <w:top w:val="nil"/>
              <w:left w:val="nil"/>
              <w:bottom w:val="single" w:sz="8" w:space="0" w:color="000000"/>
              <w:right w:val="single" w:sz="8" w:space="0" w:color="000000"/>
            </w:tcBorders>
            <w:tcMar>
              <w:top w:w="0" w:type="dxa"/>
              <w:left w:w="0" w:type="dxa"/>
              <w:bottom w:w="0" w:type="dxa"/>
              <w:right w:w="0" w:type="dxa"/>
            </w:tcMar>
            <w:hideMark/>
          </w:tcPr>
          <w:p w14:paraId="1C6FBB57" w14:textId="77777777" w:rsidR="00B21825" w:rsidRPr="00B21825" w:rsidRDefault="00B21825" w:rsidP="00B21825">
            <w:pPr>
              <w:widowControl w:val="0"/>
              <w:autoSpaceDE w:val="0"/>
              <w:autoSpaceDN w:val="0"/>
              <w:spacing w:after="0" w:line="240" w:lineRule="auto"/>
              <w:ind w:right="1270"/>
              <w:jc w:val="right"/>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kern w:val="0"/>
                <w:lang w:eastAsia="tr-TR"/>
                <w14:ligatures w14:val="none"/>
              </w:rPr>
              <w:t>1735</w:t>
            </w:r>
          </w:p>
        </w:tc>
        <w:tc>
          <w:tcPr>
            <w:tcW w:w="1856" w:type="pct"/>
            <w:tcBorders>
              <w:top w:val="nil"/>
              <w:left w:val="nil"/>
              <w:bottom w:val="single" w:sz="8" w:space="0" w:color="000000"/>
              <w:right w:val="single" w:sz="8" w:space="0" w:color="000000"/>
            </w:tcBorders>
            <w:tcMar>
              <w:top w:w="0" w:type="dxa"/>
              <w:left w:w="0" w:type="dxa"/>
              <w:bottom w:w="0" w:type="dxa"/>
              <w:right w:w="0" w:type="dxa"/>
            </w:tcMar>
            <w:hideMark/>
          </w:tcPr>
          <w:p w14:paraId="0572BFCB" w14:textId="77777777" w:rsidR="00B21825" w:rsidRPr="00B21825" w:rsidRDefault="00B21825" w:rsidP="00B21825">
            <w:pPr>
              <w:widowControl w:val="0"/>
              <w:autoSpaceDE w:val="0"/>
              <w:autoSpaceDN w:val="0"/>
              <w:spacing w:after="0" w:line="240" w:lineRule="auto"/>
              <w:ind w:left="9"/>
              <w:jc w:val="center"/>
              <w:rPr>
                <w:rFonts w:asciiTheme="majorHAnsi" w:eastAsia="Times New Roman" w:hAnsiTheme="majorHAnsi" w:cs="Times New Roman"/>
                <w:kern w:val="0"/>
                <w:lang w:eastAsia="tr-TR"/>
                <w14:ligatures w14:val="none"/>
              </w:rPr>
            </w:pPr>
            <w:r w:rsidRPr="00B21825">
              <w:rPr>
                <w:rFonts w:asciiTheme="majorHAnsi" w:eastAsia="Times New Roman" w:hAnsiTheme="majorHAnsi" w:cs="Times New Roman"/>
                <w:kern w:val="0"/>
                <w:lang w:eastAsia="tr-TR"/>
                <w14:ligatures w14:val="none"/>
              </w:rPr>
              <w:t>1735</w:t>
            </w:r>
          </w:p>
        </w:tc>
      </w:tr>
    </w:tbl>
    <w:p w14:paraId="07ACCBB3" w14:textId="77777777" w:rsidR="00B21825" w:rsidRDefault="00B21825" w:rsidP="00E84CF6">
      <w:pPr>
        <w:jc w:val="both"/>
        <w:rPr>
          <w:lang w:val="tr-TR"/>
        </w:rPr>
      </w:pPr>
    </w:p>
    <w:p w14:paraId="5E60CAA7" w14:textId="77777777" w:rsidR="00B21825" w:rsidRPr="00B21825" w:rsidRDefault="00B21825" w:rsidP="00B21825">
      <w:pPr>
        <w:jc w:val="both"/>
        <w:rPr>
          <w:b/>
          <w:bCs/>
          <w:lang w:val="tr-TR"/>
        </w:rPr>
      </w:pPr>
      <w:r w:rsidRPr="00B21825">
        <w:rPr>
          <w:b/>
          <w:bCs/>
          <w:lang w:val="tr-TR"/>
        </w:rPr>
        <w:t>Application Procedures</w:t>
      </w:r>
    </w:p>
    <w:p w14:paraId="424B49ED" w14:textId="0AA27ED3" w:rsidR="00B21825" w:rsidRPr="00B21825" w:rsidRDefault="00B21825" w:rsidP="00B21825">
      <w:pPr>
        <w:jc w:val="both"/>
        <w:rPr>
          <w:lang w:val="tr-TR"/>
        </w:rPr>
      </w:pPr>
      <w:r w:rsidRPr="00B21825">
        <w:rPr>
          <w:lang w:val="tr-TR"/>
        </w:rPr>
        <w:t xml:space="preserve">The announcement period for the KA171 Teaching Mobility to be carried out between Karabük University and </w:t>
      </w:r>
      <w:r w:rsidR="005C4053">
        <w:rPr>
          <w:b/>
          <w:bCs/>
          <w:highlight w:val="yellow"/>
          <w:lang w:val="tr-TR"/>
        </w:rPr>
        <w:t>Abdelmalek Essaadi</w:t>
      </w:r>
      <w:r w:rsidRPr="00B21825">
        <w:rPr>
          <w:b/>
          <w:bCs/>
          <w:highlight w:val="yellow"/>
          <w:lang w:val="tr-TR"/>
        </w:rPr>
        <w:t xml:space="preserve"> University (</w:t>
      </w:r>
      <w:r w:rsidR="005C4053">
        <w:rPr>
          <w:b/>
          <w:bCs/>
          <w:highlight w:val="yellow"/>
          <w:lang w:val="tr-TR"/>
        </w:rPr>
        <w:t>Morocco</w:t>
      </w:r>
      <w:r w:rsidRPr="00B21825">
        <w:rPr>
          <w:b/>
          <w:bCs/>
          <w:highlight w:val="yellow"/>
          <w:lang w:val="tr-TR"/>
        </w:rPr>
        <w:t>)</w:t>
      </w:r>
      <w:r w:rsidRPr="00B21825">
        <w:rPr>
          <w:lang w:val="tr-TR"/>
        </w:rPr>
        <w:t xml:space="preserve"> will be from </w:t>
      </w:r>
      <w:r w:rsidR="005C4053">
        <w:rPr>
          <w:lang w:val="tr-TR"/>
        </w:rPr>
        <w:t>29</w:t>
      </w:r>
      <w:r>
        <w:rPr>
          <w:lang w:val="tr-TR"/>
        </w:rPr>
        <w:t>/</w:t>
      </w:r>
      <w:r w:rsidR="005C4053">
        <w:rPr>
          <w:lang w:val="tr-TR"/>
        </w:rPr>
        <w:t>12</w:t>
      </w:r>
      <w:r>
        <w:rPr>
          <w:lang w:val="tr-TR"/>
        </w:rPr>
        <w:t>/</w:t>
      </w:r>
      <w:r w:rsidR="005C4053">
        <w:rPr>
          <w:lang w:val="tr-TR"/>
        </w:rPr>
        <w:t>2025</w:t>
      </w:r>
      <w:r w:rsidRPr="00B21825">
        <w:rPr>
          <w:lang w:val="tr-TR"/>
        </w:rPr>
        <w:t xml:space="preserve"> to </w:t>
      </w:r>
      <w:r w:rsidR="005C4053">
        <w:rPr>
          <w:lang w:val="tr-TR"/>
        </w:rPr>
        <w:t>16</w:t>
      </w:r>
      <w:r>
        <w:rPr>
          <w:lang w:val="tr-TR"/>
        </w:rPr>
        <w:t>/</w:t>
      </w:r>
      <w:r w:rsidR="005C4053">
        <w:rPr>
          <w:lang w:val="tr-TR"/>
        </w:rPr>
        <w:t>01</w:t>
      </w:r>
      <w:r>
        <w:rPr>
          <w:lang w:val="tr-TR"/>
        </w:rPr>
        <w:t>/</w:t>
      </w:r>
      <w:r w:rsidR="005C4053">
        <w:rPr>
          <w:lang w:val="tr-TR"/>
        </w:rPr>
        <w:t>2026</w:t>
      </w:r>
      <w:r w:rsidRPr="00B21825">
        <w:rPr>
          <w:lang w:val="tr-TR"/>
        </w:rPr>
        <w:t>.</w:t>
      </w:r>
      <w:r w:rsidRPr="00B21825">
        <w:rPr>
          <w:lang w:val="tr-TR"/>
        </w:rPr>
        <w:br/>
        <w:t xml:space="preserve">Applications will be accepted </w:t>
      </w:r>
      <w:r w:rsidRPr="00BE4336">
        <w:rPr>
          <w:highlight w:val="yellow"/>
          <w:lang w:val="tr-TR"/>
        </w:rPr>
        <w:t xml:space="preserve">via </w:t>
      </w:r>
      <w:r w:rsidR="00BE4336" w:rsidRPr="00BE4336">
        <w:rPr>
          <w:color w:val="0070C0"/>
          <w:highlight w:val="yellow"/>
        </w:rPr>
        <w:t>email erasmusplus@uae.ac.ma</w:t>
      </w:r>
      <w:bookmarkStart w:id="0" w:name="_GoBack"/>
      <w:bookmarkEnd w:id="0"/>
    </w:p>
    <w:p w14:paraId="5D5FDA18" w14:textId="77777777" w:rsidR="00B21825" w:rsidRPr="00B21825" w:rsidRDefault="00B21825" w:rsidP="00B21825">
      <w:pPr>
        <w:jc w:val="both"/>
        <w:rPr>
          <w:lang w:val="tr-TR"/>
        </w:rPr>
      </w:pPr>
      <w:r w:rsidRPr="00B21825">
        <w:rPr>
          <w:lang w:val="tr-TR"/>
        </w:rPr>
        <w:t>Applications will be evaluated by the Exchange Programmes Staff and Student Mobility Selection Committee.</w:t>
      </w:r>
    </w:p>
    <w:p w14:paraId="413EB21F" w14:textId="77777777" w:rsidR="00B21825" w:rsidRPr="00B21825" w:rsidRDefault="00B21825" w:rsidP="00B21825">
      <w:pPr>
        <w:jc w:val="both"/>
        <w:rPr>
          <w:lang w:val="tr-TR"/>
        </w:rPr>
      </w:pPr>
      <w:r w:rsidRPr="00B21825">
        <w:rPr>
          <w:lang w:val="tr-TR"/>
        </w:rPr>
        <w:t>During the application process, all mandatory fields specified in the system must be completed, and the required documents must be uploaded.</w:t>
      </w:r>
    </w:p>
    <w:p w14:paraId="79B0F65D" w14:textId="66F59073" w:rsidR="00201AB2" w:rsidRPr="005C4053" w:rsidRDefault="00B21825" w:rsidP="005C4053">
      <w:pPr>
        <w:numPr>
          <w:ilvl w:val="0"/>
          <w:numId w:val="8"/>
        </w:numPr>
        <w:jc w:val="both"/>
        <w:rPr>
          <w:lang w:val="tr-TR"/>
        </w:rPr>
      </w:pPr>
      <w:r w:rsidRPr="00B21825">
        <w:rPr>
          <w:lang w:val="tr-TR"/>
        </w:rPr>
        <w:t xml:space="preserve">The evaluation criteria have been determined by the Karabük University Erasmus+ Commission, taking into account the provisions set out in the Erasmus+ KA171 Higher Education Institutions Handbook for the 2025 Contract Period published by </w:t>
      </w:r>
      <w:r>
        <w:rPr>
          <w:lang w:val="tr-TR"/>
        </w:rPr>
        <w:t xml:space="preserve">Turkish </w:t>
      </w:r>
      <w:r w:rsidRPr="00B21825">
        <w:rPr>
          <w:lang w:val="tr-TR"/>
        </w:rPr>
        <w:t>National Agency, and have been formally approved and recorded by a Decision of the Board of Directors</w:t>
      </w:r>
    </w:p>
    <w:p w14:paraId="1EA9B10D" w14:textId="19DA06B8" w:rsidR="00201AB2" w:rsidRPr="00201AB2" w:rsidRDefault="00201AB2" w:rsidP="00201AB2">
      <w:pPr>
        <w:jc w:val="both"/>
        <w:rPr>
          <w:b/>
          <w:bCs/>
          <w:lang w:val="tr-TR"/>
        </w:rPr>
      </w:pPr>
      <w:r w:rsidRPr="00201AB2">
        <w:rPr>
          <w:b/>
          <w:bCs/>
          <w:lang w:val="tr-TR"/>
        </w:rPr>
        <w:t>Staff Evaluation Criteria Table</w:t>
      </w:r>
    </w:p>
    <w:tbl>
      <w:tblPr>
        <w:tblW w:w="10495"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5"/>
        <w:gridCol w:w="2440"/>
      </w:tblGrid>
      <w:tr w:rsidR="00201AB2" w:rsidRPr="00377106" w14:paraId="1F15A386" w14:textId="77777777" w:rsidTr="00CA6B27">
        <w:trPr>
          <w:trHeight w:val="254"/>
        </w:trPr>
        <w:tc>
          <w:tcPr>
            <w:tcW w:w="8055" w:type="dxa"/>
            <w:tcMar>
              <w:top w:w="0" w:type="dxa"/>
              <w:left w:w="108" w:type="dxa"/>
              <w:bottom w:w="0" w:type="dxa"/>
              <w:right w:w="108" w:type="dxa"/>
            </w:tcMar>
            <w:hideMark/>
          </w:tcPr>
          <w:p w14:paraId="0980D7D6" w14:textId="77777777" w:rsidR="00201AB2" w:rsidRPr="00377106" w:rsidRDefault="00201AB2" w:rsidP="00CA6B27">
            <w:pPr>
              <w:spacing w:line="276" w:lineRule="auto"/>
              <w:jc w:val="center"/>
              <w:textAlignment w:val="baseline"/>
              <w:rPr>
                <w:color w:val="000000"/>
                <w:lang w:eastAsia="tr-TR"/>
              </w:rPr>
            </w:pPr>
            <w:proofErr w:type="spellStart"/>
            <w:r>
              <w:rPr>
                <w:b/>
                <w:bCs/>
                <w:color w:val="000000"/>
                <w:lang w:eastAsia="tr-TR"/>
              </w:rPr>
              <w:t>Ölçüt</w:t>
            </w:r>
            <w:proofErr w:type="spellEnd"/>
          </w:p>
        </w:tc>
        <w:tc>
          <w:tcPr>
            <w:tcW w:w="2440" w:type="dxa"/>
            <w:tcMar>
              <w:top w:w="0" w:type="dxa"/>
              <w:left w:w="108" w:type="dxa"/>
              <w:bottom w:w="0" w:type="dxa"/>
              <w:right w:w="108" w:type="dxa"/>
            </w:tcMar>
            <w:hideMark/>
          </w:tcPr>
          <w:p w14:paraId="2EE4EAEF" w14:textId="77777777" w:rsidR="00201AB2" w:rsidRPr="00377106" w:rsidRDefault="00201AB2" w:rsidP="00CA6B27">
            <w:pPr>
              <w:spacing w:line="276" w:lineRule="auto"/>
              <w:jc w:val="center"/>
              <w:textAlignment w:val="baseline"/>
              <w:rPr>
                <w:color w:val="000000"/>
                <w:lang w:eastAsia="tr-TR"/>
              </w:rPr>
            </w:pPr>
            <w:proofErr w:type="spellStart"/>
            <w:r>
              <w:rPr>
                <w:b/>
                <w:bCs/>
                <w:color w:val="000000"/>
                <w:lang w:eastAsia="tr-TR"/>
              </w:rPr>
              <w:t>Ağırlıklı</w:t>
            </w:r>
            <w:proofErr w:type="spellEnd"/>
            <w:r>
              <w:rPr>
                <w:b/>
                <w:bCs/>
                <w:color w:val="000000"/>
                <w:lang w:eastAsia="tr-TR"/>
              </w:rPr>
              <w:t xml:space="preserve"> </w:t>
            </w:r>
            <w:proofErr w:type="spellStart"/>
            <w:r w:rsidRPr="00377106">
              <w:rPr>
                <w:b/>
                <w:bCs/>
                <w:color w:val="000000"/>
                <w:lang w:eastAsia="tr-TR"/>
              </w:rPr>
              <w:t>Puan</w:t>
            </w:r>
            <w:proofErr w:type="spellEnd"/>
          </w:p>
        </w:tc>
      </w:tr>
      <w:tr w:rsidR="00201AB2" w:rsidRPr="00377106" w14:paraId="163E3230" w14:textId="77777777" w:rsidTr="00D937A5">
        <w:trPr>
          <w:trHeight w:val="254"/>
        </w:trPr>
        <w:tc>
          <w:tcPr>
            <w:tcW w:w="8055" w:type="dxa"/>
            <w:tcMar>
              <w:top w:w="0" w:type="dxa"/>
              <w:left w:w="108" w:type="dxa"/>
              <w:bottom w:w="0" w:type="dxa"/>
              <w:right w:w="108" w:type="dxa"/>
            </w:tcMar>
            <w:vAlign w:val="center"/>
          </w:tcPr>
          <w:p w14:paraId="1C2F1736" w14:textId="745C0563" w:rsidR="00201AB2" w:rsidRPr="000277C9" w:rsidRDefault="00201AB2" w:rsidP="00201AB2">
            <w:pPr>
              <w:spacing w:line="276" w:lineRule="auto"/>
              <w:jc w:val="both"/>
              <w:textAlignment w:val="baseline"/>
              <w:rPr>
                <w:b/>
                <w:bCs/>
                <w:color w:val="000000"/>
                <w:lang w:eastAsia="tr-TR"/>
              </w:rPr>
            </w:pPr>
            <w:r>
              <w:t xml:space="preserve">A score equivalent to the staff member’s </w:t>
            </w:r>
            <w:r>
              <w:rPr>
                <w:rStyle w:val="Strong"/>
              </w:rPr>
              <w:t xml:space="preserve">length of service at </w:t>
            </w:r>
            <w:proofErr w:type="spellStart"/>
            <w:r>
              <w:rPr>
                <w:rStyle w:val="Strong"/>
              </w:rPr>
              <w:t>Karabük</w:t>
            </w:r>
            <w:proofErr w:type="spellEnd"/>
            <w:r>
              <w:rPr>
                <w:rStyle w:val="Strong"/>
              </w:rPr>
              <w:t xml:space="preserve"> University</w:t>
            </w:r>
            <w:r>
              <w:t xml:space="preserve"> shall be added to the total score. (In case of a tie, the duration of service shall be calculated based on </w:t>
            </w:r>
            <w:r>
              <w:rPr>
                <w:rStyle w:val="Strong"/>
              </w:rPr>
              <w:t>months and days</w:t>
            </w:r>
            <w:r>
              <w:t>.)</w:t>
            </w:r>
          </w:p>
        </w:tc>
        <w:tc>
          <w:tcPr>
            <w:tcW w:w="2440" w:type="dxa"/>
            <w:tcMar>
              <w:top w:w="0" w:type="dxa"/>
              <w:left w:w="108" w:type="dxa"/>
              <w:bottom w:w="0" w:type="dxa"/>
              <w:right w:w="108" w:type="dxa"/>
            </w:tcMar>
            <w:vAlign w:val="center"/>
          </w:tcPr>
          <w:p w14:paraId="559A29B0" w14:textId="1C77B349" w:rsidR="00201AB2" w:rsidRPr="004F34CB" w:rsidRDefault="00201AB2" w:rsidP="00201AB2">
            <w:pPr>
              <w:spacing w:line="276" w:lineRule="auto"/>
              <w:jc w:val="both"/>
              <w:textAlignment w:val="baseline"/>
              <w:rPr>
                <w:color w:val="000000"/>
                <w:lang w:eastAsia="tr-TR"/>
              </w:rPr>
            </w:pPr>
            <w:r>
              <w:t>+ points equal to length of service</w:t>
            </w:r>
          </w:p>
        </w:tc>
      </w:tr>
      <w:tr w:rsidR="00201AB2" w:rsidRPr="00201AB2" w14:paraId="55A97201" w14:textId="77777777" w:rsidTr="00D937A5">
        <w:trPr>
          <w:trHeight w:val="254"/>
        </w:trPr>
        <w:tc>
          <w:tcPr>
            <w:tcW w:w="8055" w:type="dxa"/>
            <w:tcMar>
              <w:top w:w="0" w:type="dxa"/>
              <w:left w:w="108" w:type="dxa"/>
              <w:bottom w:w="0" w:type="dxa"/>
              <w:right w:w="108" w:type="dxa"/>
            </w:tcMar>
            <w:vAlign w:val="center"/>
          </w:tcPr>
          <w:p w14:paraId="6B180878" w14:textId="627E3327" w:rsidR="00201AB2" w:rsidRPr="000277C9" w:rsidRDefault="00201AB2" w:rsidP="00201AB2">
            <w:pPr>
              <w:spacing w:line="276" w:lineRule="auto"/>
              <w:jc w:val="both"/>
              <w:textAlignment w:val="baseline"/>
              <w:rPr>
                <w:color w:val="000000"/>
                <w:lang w:eastAsia="tr-TR"/>
              </w:rPr>
            </w:pPr>
            <w:r>
              <w:lastRenderedPageBreak/>
              <w:t xml:space="preserve">Having obtained a minimum score of </w:t>
            </w:r>
            <w:r>
              <w:rPr>
                <w:rStyle w:val="Strong"/>
              </w:rPr>
              <w:t>50 or its equivalent</w:t>
            </w:r>
            <w:r>
              <w:t xml:space="preserve"> within the </w:t>
            </w:r>
            <w:r>
              <w:rPr>
                <w:rStyle w:val="Strong"/>
              </w:rPr>
              <w:t>last 5 years</w:t>
            </w:r>
            <w:r>
              <w:t xml:space="preserve"> (English or Turkish)</w:t>
            </w:r>
          </w:p>
        </w:tc>
        <w:tc>
          <w:tcPr>
            <w:tcW w:w="2440" w:type="dxa"/>
            <w:tcMar>
              <w:top w:w="0" w:type="dxa"/>
              <w:left w:w="108" w:type="dxa"/>
              <w:bottom w:w="0" w:type="dxa"/>
              <w:right w:w="108" w:type="dxa"/>
            </w:tcMar>
            <w:vAlign w:val="center"/>
          </w:tcPr>
          <w:p w14:paraId="1409C3CE" w14:textId="1E7D51A9" w:rsidR="00201AB2" w:rsidRPr="00201AB2" w:rsidRDefault="00201AB2" w:rsidP="00201AB2">
            <w:pPr>
              <w:spacing w:line="276" w:lineRule="auto"/>
              <w:jc w:val="both"/>
              <w:textAlignment w:val="baseline"/>
              <w:rPr>
                <w:color w:val="000000"/>
                <w:lang w:eastAsia="tr-TR"/>
              </w:rPr>
            </w:pPr>
            <w:r>
              <w:t xml:space="preserve">+ </w:t>
            </w:r>
            <w:r>
              <w:rPr>
                <w:rStyle w:val="Strong"/>
              </w:rPr>
              <w:t>10% of the language score</w:t>
            </w:r>
          </w:p>
        </w:tc>
      </w:tr>
      <w:tr w:rsidR="00201AB2" w:rsidRPr="00377106" w14:paraId="684721AE" w14:textId="77777777" w:rsidTr="00D937A5">
        <w:trPr>
          <w:trHeight w:val="254"/>
        </w:trPr>
        <w:tc>
          <w:tcPr>
            <w:tcW w:w="8055" w:type="dxa"/>
            <w:tcMar>
              <w:top w:w="0" w:type="dxa"/>
              <w:left w:w="108" w:type="dxa"/>
              <w:bottom w:w="0" w:type="dxa"/>
              <w:right w:w="108" w:type="dxa"/>
            </w:tcMar>
            <w:vAlign w:val="center"/>
          </w:tcPr>
          <w:p w14:paraId="608764BB" w14:textId="08A83E03" w:rsidR="00201AB2" w:rsidRPr="000277C9" w:rsidRDefault="00201AB2" w:rsidP="00201AB2">
            <w:pPr>
              <w:spacing w:line="276" w:lineRule="auto"/>
              <w:jc w:val="both"/>
              <w:textAlignment w:val="baseline"/>
              <w:rPr>
                <w:b/>
                <w:bCs/>
                <w:color w:val="000000"/>
                <w:lang w:eastAsia="tr-TR"/>
              </w:rPr>
            </w:pPr>
            <w:r>
              <w:t xml:space="preserve">Not having previously benefited from the </w:t>
            </w:r>
            <w:proofErr w:type="spellStart"/>
            <w:r>
              <w:t>programme</w:t>
            </w:r>
            <w:proofErr w:type="spellEnd"/>
          </w:p>
        </w:tc>
        <w:tc>
          <w:tcPr>
            <w:tcW w:w="2440" w:type="dxa"/>
            <w:tcMar>
              <w:top w:w="0" w:type="dxa"/>
              <w:left w:w="108" w:type="dxa"/>
              <w:bottom w:w="0" w:type="dxa"/>
              <w:right w:w="108" w:type="dxa"/>
            </w:tcMar>
            <w:vAlign w:val="center"/>
          </w:tcPr>
          <w:p w14:paraId="45304801" w14:textId="1FD048FA" w:rsidR="00201AB2" w:rsidRPr="004F34CB" w:rsidRDefault="00201AB2" w:rsidP="00201AB2">
            <w:pPr>
              <w:spacing w:line="276" w:lineRule="auto"/>
              <w:jc w:val="both"/>
              <w:textAlignment w:val="baseline"/>
              <w:rPr>
                <w:color w:val="000000"/>
                <w:lang w:eastAsia="tr-TR"/>
              </w:rPr>
            </w:pPr>
            <w:r>
              <w:t>+</w:t>
            </w:r>
            <w:r w:rsidR="00BE4336">
              <w:t>20</w:t>
            </w:r>
          </w:p>
        </w:tc>
      </w:tr>
      <w:tr w:rsidR="00201AB2" w:rsidRPr="00377106" w14:paraId="6AE662F9" w14:textId="77777777" w:rsidTr="00D937A5">
        <w:trPr>
          <w:trHeight w:val="254"/>
        </w:trPr>
        <w:tc>
          <w:tcPr>
            <w:tcW w:w="8055" w:type="dxa"/>
            <w:tcMar>
              <w:top w:w="0" w:type="dxa"/>
              <w:left w:w="108" w:type="dxa"/>
              <w:bottom w:w="0" w:type="dxa"/>
              <w:right w:w="108" w:type="dxa"/>
            </w:tcMar>
            <w:vAlign w:val="center"/>
          </w:tcPr>
          <w:p w14:paraId="0BE40FD1" w14:textId="6D4D94B7" w:rsidR="00201AB2" w:rsidRPr="00377106" w:rsidRDefault="00201AB2" w:rsidP="00201AB2">
            <w:pPr>
              <w:spacing w:line="276" w:lineRule="auto"/>
              <w:jc w:val="both"/>
              <w:textAlignment w:val="baseline"/>
              <w:rPr>
                <w:color w:val="000000"/>
                <w:lang w:eastAsia="tr-TR"/>
              </w:rPr>
            </w:pPr>
            <w:r>
              <w:t xml:space="preserve">Having contributed to </w:t>
            </w:r>
            <w:r>
              <w:rPr>
                <w:rStyle w:val="Strong"/>
              </w:rPr>
              <w:t>project writing</w:t>
            </w:r>
          </w:p>
        </w:tc>
        <w:tc>
          <w:tcPr>
            <w:tcW w:w="2440" w:type="dxa"/>
            <w:tcMar>
              <w:top w:w="0" w:type="dxa"/>
              <w:left w:w="108" w:type="dxa"/>
              <w:bottom w:w="0" w:type="dxa"/>
              <w:right w:w="108" w:type="dxa"/>
            </w:tcMar>
            <w:vAlign w:val="center"/>
          </w:tcPr>
          <w:p w14:paraId="473F8537" w14:textId="7C48041D" w:rsidR="00201AB2" w:rsidRPr="004F34CB" w:rsidRDefault="00201AB2" w:rsidP="00201AB2">
            <w:pPr>
              <w:spacing w:line="276" w:lineRule="auto"/>
              <w:jc w:val="both"/>
              <w:textAlignment w:val="baseline"/>
              <w:rPr>
                <w:color w:val="000000"/>
                <w:lang w:eastAsia="tr-TR"/>
              </w:rPr>
            </w:pPr>
            <w:r>
              <w:t>+10</w:t>
            </w:r>
          </w:p>
        </w:tc>
      </w:tr>
      <w:tr w:rsidR="00201AB2" w:rsidRPr="000B28B4" w14:paraId="2A66E7E3" w14:textId="77777777" w:rsidTr="00D937A5">
        <w:trPr>
          <w:trHeight w:val="254"/>
        </w:trPr>
        <w:tc>
          <w:tcPr>
            <w:tcW w:w="8055" w:type="dxa"/>
            <w:tcMar>
              <w:top w:w="0" w:type="dxa"/>
              <w:left w:w="108" w:type="dxa"/>
              <w:bottom w:w="0" w:type="dxa"/>
              <w:right w:w="108" w:type="dxa"/>
            </w:tcMar>
            <w:vAlign w:val="center"/>
          </w:tcPr>
          <w:p w14:paraId="236FDC0D" w14:textId="3C000345" w:rsidR="00201AB2" w:rsidRPr="00201AB2" w:rsidRDefault="00201AB2" w:rsidP="00201AB2">
            <w:pPr>
              <w:spacing w:line="276" w:lineRule="auto"/>
              <w:jc w:val="both"/>
              <w:textAlignment w:val="baseline"/>
              <w:rPr>
                <w:color w:val="000000"/>
                <w:lang w:eastAsia="tr-TR"/>
              </w:rPr>
            </w:pPr>
            <w:r>
              <w:t xml:space="preserve">Being a </w:t>
            </w:r>
            <w:r>
              <w:rPr>
                <w:rStyle w:val="Strong"/>
              </w:rPr>
              <w:t>staff member with disabilities</w:t>
            </w:r>
            <w:r>
              <w:t xml:space="preserve"> (provided that it is documented at the time of </w:t>
            </w:r>
            <w:proofErr w:type="gramStart"/>
            <w:r>
              <w:t>application)²</w:t>
            </w:r>
            <w:proofErr w:type="gramEnd"/>
          </w:p>
        </w:tc>
        <w:tc>
          <w:tcPr>
            <w:tcW w:w="2440" w:type="dxa"/>
            <w:tcMar>
              <w:top w:w="0" w:type="dxa"/>
              <w:left w:w="108" w:type="dxa"/>
              <w:bottom w:w="0" w:type="dxa"/>
              <w:right w:w="108" w:type="dxa"/>
            </w:tcMar>
            <w:vAlign w:val="center"/>
          </w:tcPr>
          <w:p w14:paraId="1559A04A" w14:textId="40655066" w:rsidR="00201AB2" w:rsidRPr="004F34CB" w:rsidRDefault="00201AB2" w:rsidP="00201AB2">
            <w:pPr>
              <w:spacing w:line="276" w:lineRule="auto"/>
              <w:jc w:val="both"/>
              <w:textAlignment w:val="baseline"/>
              <w:rPr>
                <w:color w:val="000000"/>
                <w:lang w:eastAsia="tr-TR"/>
              </w:rPr>
            </w:pPr>
            <w:r>
              <w:t>+10</w:t>
            </w:r>
          </w:p>
        </w:tc>
      </w:tr>
      <w:tr w:rsidR="00201AB2" w:rsidRPr="00377106" w14:paraId="6568E4A1" w14:textId="77777777" w:rsidTr="00D937A5">
        <w:trPr>
          <w:trHeight w:val="268"/>
        </w:trPr>
        <w:tc>
          <w:tcPr>
            <w:tcW w:w="8055" w:type="dxa"/>
            <w:tcMar>
              <w:top w:w="0" w:type="dxa"/>
              <w:left w:w="108" w:type="dxa"/>
              <w:bottom w:w="0" w:type="dxa"/>
              <w:right w:w="108" w:type="dxa"/>
            </w:tcMar>
            <w:vAlign w:val="center"/>
            <w:hideMark/>
          </w:tcPr>
          <w:p w14:paraId="0B38D4B8" w14:textId="78617E2F" w:rsidR="00201AB2" w:rsidRPr="00377106" w:rsidRDefault="00201AB2" w:rsidP="00201AB2">
            <w:pPr>
              <w:spacing w:line="276" w:lineRule="auto"/>
              <w:jc w:val="both"/>
              <w:textAlignment w:val="baseline"/>
              <w:rPr>
                <w:color w:val="000000"/>
                <w:lang w:eastAsia="tr-TR"/>
              </w:rPr>
            </w:pPr>
            <w:r>
              <w:t xml:space="preserve">Having carried out activities related to </w:t>
            </w:r>
            <w:r>
              <w:rPr>
                <w:rStyle w:val="Strong"/>
              </w:rPr>
              <w:t>Artificial Intelligence</w:t>
            </w:r>
            <w:r>
              <w:t xml:space="preserve"> (provided that it is documented at the time of </w:t>
            </w:r>
            <w:proofErr w:type="gramStart"/>
            <w:r>
              <w:t>application)⁴</w:t>
            </w:r>
            <w:proofErr w:type="gramEnd"/>
          </w:p>
        </w:tc>
        <w:tc>
          <w:tcPr>
            <w:tcW w:w="2440" w:type="dxa"/>
            <w:tcMar>
              <w:top w:w="0" w:type="dxa"/>
              <w:left w:w="108" w:type="dxa"/>
              <w:bottom w:w="0" w:type="dxa"/>
              <w:right w:w="108" w:type="dxa"/>
            </w:tcMar>
            <w:vAlign w:val="center"/>
            <w:hideMark/>
          </w:tcPr>
          <w:p w14:paraId="1E4558B5" w14:textId="69B07844" w:rsidR="00201AB2" w:rsidRPr="004F34CB" w:rsidRDefault="00201AB2" w:rsidP="00201AB2">
            <w:pPr>
              <w:spacing w:line="276" w:lineRule="auto"/>
              <w:jc w:val="both"/>
              <w:textAlignment w:val="baseline"/>
              <w:rPr>
                <w:color w:val="000000"/>
                <w:lang w:eastAsia="tr-TR"/>
              </w:rPr>
            </w:pPr>
            <w:r>
              <w:t>+5</w:t>
            </w:r>
          </w:p>
        </w:tc>
      </w:tr>
      <w:tr w:rsidR="00201AB2" w:rsidRPr="00377106" w14:paraId="53AE807D" w14:textId="77777777" w:rsidTr="00D937A5">
        <w:trPr>
          <w:trHeight w:val="268"/>
        </w:trPr>
        <w:tc>
          <w:tcPr>
            <w:tcW w:w="8055" w:type="dxa"/>
            <w:tcMar>
              <w:top w:w="0" w:type="dxa"/>
              <w:left w:w="108" w:type="dxa"/>
              <w:bottom w:w="0" w:type="dxa"/>
              <w:right w:w="108" w:type="dxa"/>
            </w:tcMar>
            <w:vAlign w:val="center"/>
          </w:tcPr>
          <w:p w14:paraId="0417DC45" w14:textId="2B6191D0" w:rsidR="00201AB2" w:rsidRPr="000277C9" w:rsidRDefault="00201AB2" w:rsidP="00201AB2">
            <w:pPr>
              <w:spacing w:line="276" w:lineRule="auto"/>
              <w:jc w:val="both"/>
              <w:textAlignment w:val="baseline"/>
              <w:rPr>
                <w:color w:val="000000"/>
                <w:lang w:eastAsia="tr-TR"/>
              </w:rPr>
            </w:pPr>
            <w:r>
              <w:t xml:space="preserve">Carrying out mobility to the </w:t>
            </w:r>
            <w:r>
              <w:rPr>
                <w:rStyle w:val="Strong"/>
              </w:rPr>
              <w:t>country of citizenship</w:t>
            </w:r>
          </w:p>
        </w:tc>
        <w:tc>
          <w:tcPr>
            <w:tcW w:w="2440" w:type="dxa"/>
            <w:tcMar>
              <w:top w:w="0" w:type="dxa"/>
              <w:left w:w="108" w:type="dxa"/>
              <w:bottom w:w="0" w:type="dxa"/>
              <w:right w:w="108" w:type="dxa"/>
            </w:tcMar>
            <w:vAlign w:val="center"/>
          </w:tcPr>
          <w:p w14:paraId="2269E623" w14:textId="49DEC6D2" w:rsidR="00201AB2" w:rsidRPr="004F34CB" w:rsidRDefault="00201AB2" w:rsidP="00201AB2">
            <w:pPr>
              <w:spacing w:line="276" w:lineRule="auto"/>
              <w:jc w:val="both"/>
              <w:textAlignment w:val="baseline"/>
              <w:rPr>
                <w:color w:val="000000"/>
                <w:lang w:eastAsia="tr-TR"/>
              </w:rPr>
            </w:pPr>
            <w:r>
              <w:t>−5</w:t>
            </w:r>
          </w:p>
        </w:tc>
      </w:tr>
      <w:tr w:rsidR="00201AB2" w:rsidRPr="00377106" w14:paraId="78820B2D" w14:textId="77777777" w:rsidTr="00D937A5">
        <w:trPr>
          <w:trHeight w:val="254"/>
        </w:trPr>
        <w:tc>
          <w:tcPr>
            <w:tcW w:w="8055" w:type="dxa"/>
            <w:tcMar>
              <w:top w:w="0" w:type="dxa"/>
              <w:left w:w="108" w:type="dxa"/>
              <w:bottom w:w="0" w:type="dxa"/>
              <w:right w:w="108" w:type="dxa"/>
            </w:tcMar>
            <w:vAlign w:val="center"/>
            <w:hideMark/>
          </w:tcPr>
          <w:p w14:paraId="42FB864E" w14:textId="77777777" w:rsidR="00201AB2" w:rsidRPr="00377106" w:rsidRDefault="00201AB2" w:rsidP="00201AB2">
            <w:pPr>
              <w:spacing w:line="276" w:lineRule="auto"/>
              <w:jc w:val="both"/>
              <w:textAlignment w:val="baseline"/>
              <w:rPr>
                <w:color w:val="000000"/>
                <w:lang w:eastAsia="tr-TR"/>
              </w:rPr>
            </w:pPr>
            <w:r>
              <w:t xml:space="preserve">Having previously benefited from the </w:t>
            </w:r>
            <w:proofErr w:type="spellStart"/>
            <w:r>
              <w:t>programme</w:t>
            </w:r>
            <w:proofErr w:type="spellEnd"/>
            <w:r>
              <w:t>:</w:t>
            </w:r>
          </w:p>
          <w:p w14:paraId="465C28F8" w14:textId="77777777" w:rsidR="00201AB2" w:rsidRPr="00377106" w:rsidRDefault="00201AB2" w:rsidP="00201AB2">
            <w:pPr>
              <w:spacing w:line="276" w:lineRule="auto"/>
              <w:jc w:val="both"/>
              <w:textAlignment w:val="baseline"/>
              <w:rPr>
                <w:color w:val="000000"/>
                <w:lang w:eastAsia="tr-TR"/>
              </w:rPr>
            </w:pPr>
            <w:r>
              <w:t xml:space="preserve">• Benefited </w:t>
            </w:r>
            <w:r>
              <w:rPr>
                <w:rStyle w:val="Strong"/>
              </w:rPr>
              <w:t>once</w:t>
            </w:r>
            <w:r>
              <w:t xml:space="preserve"> with a grant</w:t>
            </w:r>
          </w:p>
          <w:p w14:paraId="589C7946" w14:textId="77777777" w:rsidR="00201AB2" w:rsidRDefault="00201AB2" w:rsidP="00201AB2">
            <w:pPr>
              <w:spacing w:line="276" w:lineRule="auto"/>
              <w:jc w:val="both"/>
              <w:textAlignment w:val="baseline"/>
            </w:pPr>
            <w:r>
              <w:t xml:space="preserve">• Benefited </w:t>
            </w:r>
            <w:r>
              <w:rPr>
                <w:rStyle w:val="Strong"/>
              </w:rPr>
              <w:t>twice</w:t>
            </w:r>
            <w:r>
              <w:t xml:space="preserve"> with a grant</w:t>
            </w:r>
          </w:p>
          <w:p w14:paraId="312407E9" w14:textId="05E561B4" w:rsidR="00201AB2" w:rsidRPr="00377106" w:rsidRDefault="00201AB2" w:rsidP="00201AB2">
            <w:pPr>
              <w:spacing w:line="276" w:lineRule="auto"/>
              <w:textAlignment w:val="baseline"/>
              <w:rPr>
                <w:color w:val="000000"/>
                <w:lang w:eastAsia="tr-TR"/>
              </w:rPr>
            </w:pPr>
            <w:r w:rsidRPr="00201AB2">
              <w:rPr>
                <w:color w:val="000000"/>
                <w:lang w:eastAsia="tr-TR"/>
              </w:rPr>
              <w:t xml:space="preserve">Benefited </w:t>
            </w:r>
            <w:r w:rsidRPr="00201AB2">
              <w:rPr>
                <w:b/>
                <w:bCs/>
                <w:color w:val="000000"/>
                <w:lang w:eastAsia="tr-TR"/>
              </w:rPr>
              <w:t>three times or more</w:t>
            </w:r>
            <w:r w:rsidRPr="00201AB2">
              <w:rPr>
                <w:color w:val="000000"/>
                <w:lang w:eastAsia="tr-TR"/>
              </w:rPr>
              <w:t xml:space="preserve"> with a grant</w:t>
            </w:r>
          </w:p>
        </w:tc>
        <w:tc>
          <w:tcPr>
            <w:tcW w:w="2440" w:type="dxa"/>
            <w:tcMar>
              <w:top w:w="0" w:type="dxa"/>
              <w:left w:w="108" w:type="dxa"/>
              <w:bottom w:w="0" w:type="dxa"/>
              <w:right w:w="108" w:type="dxa"/>
            </w:tcMar>
            <w:vAlign w:val="center"/>
            <w:hideMark/>
          </w:tcPr>
          <w:p w14:paraId="3351ACC8" w14:textId="77777777" w:rsidR="00201AB2" w:rsidRDefault="00201AB2" w:rsidP="00201AB2">
            <w:pPr>
              <w:spacing w:line="276" w:lineRule="auto"/>
              <w:jc w:val="both"/>
              <w:textAlignment w:val="baseline"/>
              <w:rPr>
                <w:color w:val="000000"/>
                <w:lang w:eastAsia="tr-TR"/>
              </w:rPr>
            </w:pPr>
          </w:p>
          <w:p w14:paraId="4E50455E" w14:textId="5F5E3AF0" w:rsidR="00201AB2" w:rsidRPr="004F34CB" w:rsidRDefault="00201AB2" w:rsidP="00201AB2">
            <w:pPr>
              <w:spacing w:line="276" w:lineRule="auto"/>
              <w:jc w:val="both"/>
              <w:textAlignment w:val="baseline"/>
              <w:rPr>
                <w:color w:val="000000"/>
                <w:lang w:eastAsia="tr-TR"/>
              </w:rPr>
            </w:pPr>
            <w:r>
              <w:rPr>
                <w:color w:val="000000"/>
                <w:lang w:eastAsia="tr-TR"/>
              </w:rPr>
              <w:t>-5</w:t>
            </w:r>
          </w:p>
        </w:tc>
      </w:tr>
      <w:tr w:rsidR="00201AB2" w:rsidRPr="00377106" w14:paraId="2E9443DC" w14:textId="77777777" w:rsidTr="00D937A5">
        <w:trPr>
          <w:trHeight w:val="254"/>
        </w:trPr>
        <w:tc>
          <w:tcPr>
            <w:tcW w:w="8055" w:type="dxa"/>
            <w:tcMar>
              <w:top w:w="0" w:type="dxa"/>
              <w:left w:w="108" w:type="dxa"/>
              <w:bottom w:w="0" w:type="dxa"/>
              <w:right w:w="108" w:type="dxa"/>
            </w:tcMar>
            <w:vAlign w:val="center"/>
          </w:tcPr>
          <w:p w14:paraId="2FF3A9FF" w14:textId="4E0B7183" w:rsidR="00201AB2" w:rsidRPr="000277C9" w:rsidRDefault="00201AB2" w:rsidP="00201AB2">
            <w:pPr>
              <w:spacing w:line="276" w:lineRule="auto"/>
              <w:textAlignment w:val="baseline"/>
              <w:rPr>
                <w:color w:val="000000"/>
                <w:lang w:eastAsia="tr-TR"/>
              </w:rPr>
            </w:pPr>
            <w:r>
              <w:t xml:space="preserve">Carrying out mobility to the </w:t>
            </w:r>
            <w:r>
              <w:rPr>
                <w:rStyle w:val="Strong"/>
              </w:rPr>
              <w:t>country of citizenship</w:t>
            </w:r>
          </w:p>
        </w:tc>
        <w:tc>
          <w:tcPr>
            <w:tcW w:w="2440" w:type="dxa"/>
            <w:tcMar>
              <w:top w:w="0" w:type="dxa"/>
              <w:left w:w="108" w:type="dxa"/>
              <w:bottom w:w="0" w:type="dxa"/>
              <w:right w:w="108" w:type="dxa"/>
            </w:tcMar>
            <w:vAlign w:val="center"/>
          </w:tcPr>
          <w:p w14:paraId="31CD5DCD" w14:textId="74CAFC1F" w:rsidR="00201AB2" w:rsidRPr="004F34CB" w:rsidRDefault="00201AB2" w:rsidP="00201AB2">
            <w:pPr>
              <w:spacing w:line="276" w:lineRule="auto"/>
              <w:jc w:val="both"/>
              <w:textAlignment w:val="baseline"/>
              <w:rPr>
                <w:color w:val="000000"/>
                <w:lang w:eastAsia="tr-TR"/>
              </w:rPr>
            </w:pPr>
            <w:r>
              <w:t>−10</w:t>
            </w:r>
          </w:p>
        </w:tc>
      </w:tr>
      <w:tr w:rsidR="00201AB2" w:rsidRPr="00377106" w14:paraId="261EEE0A" w14:textId="77777777" w:rsidTr="00D937A5">
        <w:trPr>
          <w:trHeight w:val="696"/>
        </w:trPr>
        <w:tc>
          <w:tcPr>
            <w:tcW w:w="8055" w:type="dxa"/>
            <w:vMerge w:val="restart"/>
            <w:tcMar>
              <w:top w:w="0" w:type="dxa"/>
              <w:left w:w="108" w:type="dxa"/>
              <w:bottom w:w="0" w:type="dxa"/>
              <w:right w:w="108" w:type="dxa"/>
            </w:tcMar>
            <w:vAlign w:val="center"/>
            <w:hideMark/>
          </w:tcPr>
          <w:p w14:paraId="293F3D27" w14:textId="77777777" w:rsidR="00201AB2" w:rsidRPr="00377106" w:rsidRDefault="00201AB2" w:rsidP="00201AB2">
            <w:pPr>
              <w:spacing w:line="276" w:lineRule="auto"/>
              <w:jc w:val="both"/>
              <w:textAlignment w:val="baseline"/>
              <w:rPr>
                <w:color w:val="000000"/>
                <w:lang w:eastAsia="tr-TR"/>
              </w:rPr>
            </w:pPr>
            <w:r>
              <w:t xml:space="preserve">Having previously benefited from the </w:t>
            </w:r>
            <w:proofErr w:type="spellStart"/>
            <w:r>
              <w:t>programme</w:t>
            </w:r>
            <w:proofErr w:type="spellEnd"/>
            <w:r>
              <w:t>:</w:t>
            </w:r>
          </w:p>
          <w:p w14:paraId="5976F1EC" w14:textId="77777777" w:rsidR="00201AB2" w:rsidRPr="00377106" w:rsidRDefault="00201AB2" w:rsidP="00201AB2">
            <w:pPr>
              <w:spacing w:line="276" w:lineRule="auto"/>
              <w:jc w:val="both"/>
              <w:textAlignment w:val="baseline"/>
              <w:rPr>
                <w:color w:val="000000"/>
                <w:lang w:eastAsia="tr-TR"/>
              </w:rPr>
            </w:pPr>
            <w:r>
              <w:t xml:space="preserve">• Benefited </w:t>
            </w:r>
            <w:r>
              <w:rPr>
                <w:rStyle w:val="Strong"/>
              </w:rPr>
              <w:t>once</w:t>
            </w:r>
            <w:r>
              <w:t xml:space="preserve"> with a grant</w:t>
            </w:r>
          </w:p>
          <w:p w14:paraId="09704018" w14:textId="77777777" w:rsidR="00201AB2" w:rsidRDefault="00201AB2" w:rsidP="00201AB2">
            <w:pPr>
              <w:spacing w:line="276" w:lineRule="auto"/>
              <w:jc w:val="both"/>
              <w:textAlignment w:val="baseline"/>
            </w:pPr>
            <w:r>
              <w:t xml:space="preserve">• Benefited </w:t>
            </w:r>
            <w:r>
              <w:rPr>
                <w:rStyle w:val="Strong"/>
              </w:rPr>
              <w:t>twice</w:t>
            </w:r>
            <w:r>
              <w:t xml:space="preserve"> with a grant</w:t>
            </w:r>
          </w:p>
          <w:p w14:paraId="4F88B884" w14:textId="5F25D1CE" w:rsidR="00201AB2" w:rsidRPr="00377106" w:rsidRDefault="00201AB2" w:rsidP="00201AB2">
            <w:pPr>
              <w:spacing w:line="276" w:lineRule="auto"/>
              <w:jc w:val="both"/>
              <w:textAlignment w:val="baseline"/>
              <w:rPr>
                <w:color w:val="000000"/>
                <w:lang w:eastAsia="tr-TR"/>
              </w:rPr>
            </w:pPr>
            <w:r w:rsidRPr="00201AB2">
              <w:rPr>
                <w:color w:val="000000"/>
                <w:lang w:eastAsia="tr-TR"/>
              </w:rPr>
              <w:t xml:space="preserve">Benefited </w:t>
            </w:r>
            <w:r w:rsidRPr="00201AB2">
              <w:rPr>
                <w:b/>
                <w:bCs/>
                <w:color w:val="000000"/>
                <w:lang w:eastAsia="tr-TR"/>
              </w:rPr>
              <w:t>three times or more</w:t>
            </w:r>
            <w:r w:rsidRPr="00201AB2">
              <w:rPr>
                <w:color w:val="000000"/>
                <w:lang w:eastAsia="tr-TR"/>
              </w:rPr>
              <w:t xml:space="preserve"> with a grant</w:t>
            </w:r>
          </w:p>
        </w:tc>
        <w:tc>
          <w:tcPr>
            <w:tcW w:w="2440" w:type="dxa"/>
            <w:tcMar>
              <w:top w:w="0" w:type="dxa"/>
              <w:left w:w="108" w:type="dxa"/>
              <w:bottom w:w="0" w:type="dxa"/>
              <w:right w:w="108" w:type="dxa"/>
            </w:tcMar>
            <w:vAlign w:val="center"/>
            <w:hideMark/>
          </w:tcPr>
          <w:p w14:paraId="76B202B6" w14:textId="339AE434" w:rsidR="00201AB2" w:rsidRPr="00BE4336" w:rsidRDefault="00BE4336" w:rsidP="00201AB2">
            <w:pPr>
              <w:spacing w:line="276" w:lineRule="auto"/>
              <w:jc w:val="both"/>
              <w:textAlignment w:val="baseline"/>
              <w:rPr>
                <w:color w:val="000000"/>
                <w:highlight w:val="yellow"/>
                <w:lang w:eastAsia="tr-TR"/>
              </w:rPr>
            </w:pPr>
            <w:r w:rsidRPr="00BE4336">
              <w:rPr>
                <w:highlight w:val="yellow"/>
              </w:rPr>
              <w:t>-10</w:t>
            </w:r>
          </w:p>
        </w:tc>
      </w:tr>
      <w:tr w:rsidR="00201AB2" w:rsidRPr="00377106" w14:paraId="3228459E" w14:textId="77777777" w:rsidTr="00442BBF">
        <w:trPr>
          <w:trHeight w:val="405"/>
        </w:trPr>
        <w:tc>
          <w:tcPr>
            <w:tcW w:w="8055" w:type="dxa"/>
            <w:vMerge/>
            <w:vAlign w:val="center"/>
          </w:tcPr>
          <w:p w14:paraId="0B9EBB18" w14:textId="77777777" w:rsidR="00201AB2" w:rsidRPr="00377106" w:rsidRDefault="00201AB2" w:rsidP="00201AB2">
            <w:pPr>
              <w:spacing w:line="276" w:lineRule="auto"/>
              <w:rPr>
                <w:color w:val="000000"/>
                <w:lang w:eastAsia="tr-TR"/>
              </w:rPr>
            </w:pPr>
          </w:p>
        </w:tc>
        <w:tc>
          <w:tcPr>
            <w:tcW w:w="2440" w:type="dxa"/>
            <w:tcMar>
              <w:top w:w="0" w:type="dxa"/>
              <w:left w:w="108" w:type="dxa"/>
              <w:bottom w:w="0" w:type="dxa"/>
              <w:right w:w="108" w:type="dxa"/>
            </w:tcMar>
            <w:vAlign w:val="center"/>
          </w:tcPr>
          <w:p w14:paraId="637C49CE" w14:textId="7BB25DF5" w:rsidR="00201AB2" w:rsidRPr="00BE4336" w:rsidRDefault="00BE4336" w:rsidP="00201AB2">
            <w:pPr>
              <w:spacing w:line="276" w:lineRule="auto"/>
              <w:jc w:val="both"/>
              <w:textAlignment w:val="baseline"/>
              <w:rPr>
                <w:color w:val="000000"/>
                <w:highlight w:val="yellow"/>
                <w:lang w:eastAsia="tr-TR"/>
              </w:rPr>
            </w:pPr>
            <w:r w:rsidRPr="00BE4336">
              <w:rPr>
                <w:color w:val="000000"/>
                <w:highlight w:val="yellow"/>
                <w:lang w:eastAsia="tr-TR"/>
              </w:rPr>
              <w:t>-15</w:t>
            </w:r>
          </w:p>
        </w:tc>
      </w:tr>
      <w:tr w:rsidR="00201AB2" w:rsidRPr="00377106" w14:paraId="1055CD7A" w14:textId="77777777" w:rsidTr="00442BBF">
        <w:trPr>
          <w:trHeight w:val="525"/>
        </w:trPr>
        <w:tc>
          <w:tcPr>
            <w:tcW w:w="8055" w:type="dxa"/>
            <w:vMerge/>
            <w:vAlign w:val="center"/>
          </w:tcPr>
          <w:p w14:paraId="4E0399CF" w14:textId="77777777" w:rsidR="00201AB2" w:rsidRPr="00377106" w:rsidRDefault="00201AB2" w:rsidP="00201AB2">
            <w:pPr>
              <w:spacing w:line="276" w:lineRule="auto"/>
              <w:rPr>
                <w:color w:val="000000"/>
                <w:lang w:eastAsia="tr-TR"/>
              </w:rPr>
            </w:pPr>
          </w:p>
        </w:tc>
        <w:tc>
          <w:tcPr>
            <w:tcW w:w="2440" w:type="dxa"/>
            <w:tcMar>
              <w:top w:w="0" w:type="dxa"/>
              <w:left w:w="108" w:type="dxa"/>
              <w:bottom w:w="0" w:type="dxa"/>
              <w:right w:w="108" w:type="dxa"/>
            </w:tcMar>
            <w:vAlign w:val="center"/>
          </w:tcPr>
          <w:p w14:paraId="7B308B1D" w14:textId="25737A27" w:rsidR="00201AB2" w:rsidRPr="00BE4336" w:rsidRDefault="00BE4336" w:rsidP="00201AB2">
            <w:pPr>
              <w:spacing w:line="276" w:lineRule="auto"/>
              <w:jc w:val="both"/>
              <w:textAlignment w:val="baseline"/>
              <w:rPr>
                <w:color w:val="000000"/>
                <w:highlight w:val="yellow"/>
                <w:lang w:eastAsia="tr-TR"/>
              </w:rPr>
            </w:pPr>
            <w:r w:rsidRPr="00BE4336">
              <w:rPr>
                <w:color w:val="000000"/>
                <w:highlight w:val="yellow"/>
                <w:lang w:eastAsia="tr-TR"/>
              </w:rPr>
              <w:t>-20</w:t>
            </w:r>
          </w:p>
        </w:tc>
      </w:tr>
    </w:tbl>
    <w:p w14:paraId="26AB6198" w14:textId="77777777" w:rsidR="00201AB2" w:rsidRDefault="00201AB2" w:rsidP="00201AB2">
      <w:pPr>
        <w:jc w:val="both"/>
        <w:rPr>
          <w:b/>
          <w:bCs/>
          <w:rtl/>
          <w:lang w:val="tr-TR" w:bidi="ar-MA"/>
        </w:rPr>
      </w:pPr>
    </w:p>
    <w:p w14:paraId="730A88E1" w14:textId="174E01E5" w:rsidR="00201AB2" w:rsidRPr="00201AB2" w:rsidRDefault="00201AB2" w:rsidP="00201AB2">
      <w:pPr>
        <w:jc w:val="both"/>
        <w:rPr>
          <w:b/>
          <w:bCs/>
          <w:lang w:val="tr-TR"/>
        </w:rPr>
      </w:pPr>
      <w:r w:rsidRPr="00201AB2">
        <w:rPr>
          <w:b/>
          <w:bCs/>
          <w:lang w:val="tr-TR"/>
        </w:rPr>
        <w:t>Note</w:t>
      </w:r>
    </w:p>
    <w:p w14:paraId="76320F27" w14:textId="77777777" w:rsidR="00201AB2" w:rsidRPr="00201AB2" w:rsidRDefault="00201AB2" w:rsidP="00201AB2">
      <w:pPr>
        <w:jc w:val="both"/>
        <w:rPr>
          <w:lang w:val="tr-TR"/>
        </w:rPr>
      </w:pPr>
      <w:r w:rsidRPr="00201AB2">
        <w:rPr>
          <w:lang w:val="tr-TR"/>
        </w:rPr>
        <w:t xml:space="preserve">In the event of </w:t>
      </w:r>
      <w:r w:rsidRPr="00201AB2">
        <w:rPr>
          <w:b/>
          <w:bCs/>
          <w:lang w:val="tr-TR"/>
        </w:rPr>
        <w:t>equal scores</w:t>
      </w:r>
      <w:r w:rsidRPr="00201AB2">
        <w:rPr>
          <w:lang w:val="tr-TR"/>
        </w:rPr>
        <w:t>, priority shall be given in the following order:</w:t>
      </w:r>
    </w:p>
    <w:p w14:paraId="797C4F43" w14:textId="77777777" w:rsidR="00201AB2" w:rsidRPr="00201AB2" w:rsidRDefault="00201AB2" w:rsidP="00201AB2">
      <w:pPr>
        <w:numPr>
          <w:ilvl w:val="0"/>
          <w:numId w:val="9"/>
        </w:numPr>
        <w:jc w:val="both"/>
        <w:rPr>
          <w:lang w:val="tr-TR"/>
        </w:rPr>
      </w:pPr>
      <w:r w:rsidRPr="00201AB2">
        <w:rPr>
          <w:lang w:val="tr-TR"/>
        </w:rPr>
        <w:t>Staff members with a longer length of service at Karabük University.</w:t>
      </w:r>
    </w:p>
    <w:p w14:paraId="30F9C689" w14:textId="77777777" w:rsidR="00201AB2" w:rsidRPr="00201AB2" w:rsidRDefault="00201AB2" w:rsidP="00201AB2">
      <w:pPr>
        <w:numPr>
          <w:ilvl w:val="0"/>
          <w:numId w:val="9"/>
        </w:numPr>
        <w:jc w:val="both"/>
        <w:rPr>
          <w:lang w:val="tr-TR"/>
        </w:rPr>
      </w:pPr>
      <w:r w:rsidRPr="00201AB2">
        <w:rPr>
          <w:lang w:val="tr-TR"/>
        </w:rPr>
        <w:t>Staff members who have benefited less frequently from the Erasmus+ Staff Mobility Programme in previous application periods.</w:t>
      </w:r>
    </w:p>
    <w:p w14:paraId="79423FB8" w14:textId="77777777" w:rsidR="00201AB2" w:rsidRPr="00201AB2" w:rsidRDefault="00201AB2" w:rsidP="00201AB2">
      <w:pPr>
        <w:numPr>
          <w:ilvl w:val="0"/>
          <w:numId w:val="9"/>
        </w:numPr>
        <w:jc w:val="both"/>
        <w:rPr>
          <w:lang w:val="tr-TR"/>
        </w:rPr>
      </w:pPr>
      <w:r w:rsidRPr="00201AB2">
        <w:rPr>
          <w:lang w:val="tr-TR"/>
        </w:rPr>
        <w:t>Staff members from the unit with a lower overall staff mobility participation rate under the Staff Mobility Programme within the last two academic years, excluding the academic year in which the application is made.</w:t>
      </w:r>
    </w:p>
    <w:p w14:paraId="1EBF89B1" w14:textId="5F5B65F2" w:rsidR="00201AB2" w:rsidRPr="00201AB2" w:rsidRDefault="00201AB2" w:rsidP="00201AB2">
      <w:pPr>
        <w:jc w:val="both"/>
        <w:rPr>
          <w:lang w:val="tr-TR"/>
        </w:rPr>
      </w:pPr>
      <w:r w:rsidRPr="00201AB2">
        <w:rPr>
          <w:b/>
          <w:bCs/>
          <w:lang w:val="tr-TR"/>
        </w:rPr>
        <w:t>Additional Grants</w:t>
      </w:r>
    </w:p>
    <w:p w14:paraId="3511FE7A" w14:textId="77777777" w:rsidR="00201AB2" w:rsidRPr="00201AB2" w:rsidRDefault="00201AB2" w:rsidP="00201AB2">
      <w:pPr>
        <w:jc w:val="both"/>
        <w:rPr>
          <w:b/>
          <w:bCs/>
          <w:lang w:val="tr-TR"/>
        </w:rPr>
      </w:pPr>
      <w:r w:rsidRPr="00201AB2">
        <w:rPr>
          <w:b/>
          <w:bCs/>
          <w:lang w:val="tr-TR"/>
        </w:rPr>
        <w:t>1. Green Travel Support</w:t>
      </w:r>
    </w:p>
    <w:p w14:paraId="0E5C6A7C" w14:textId="77777777" w:rsidR="00201AB2" w:rsidRPr="00201AB2" w:rsidRDefault="00201AB2" w:rsidP="00201AB2">
      <w:pPr>
        <w:jc w:val="both"/>
        <w:rPr>
          <w:lang w:val="tr-TR"/>
        </w:rPr>
      </w:pPr>
      <w:r w:rsidRPr="00201AB2">
        <w:rPr>
          <w:lang w:val="tr-TR"/>
        </w:rPr>
        <w:lastRenderedPageBreak/>
        <w:t>Green travel refers to travel carried out using low carbon-emission means of collective transportation.</w:t>
      </w:r>
      <w:r w:rsidRPr="00201AB2">
        <w:rPr>
          <w:lang w:val="tr-TR"/>
        </w:rPr>
        <w:br/>
        <w:t>In order to benefit from Green Travel Support, green travel must be used for both the outbound and return journeys, and more than half of the total travel distance must be completed using green means of transport.</w:t>
      </w:r>
    </w:p>
    <w:p w14:paraId="33666CAD" w14:textId="6FD8087A" w:rsidR="00201AB2" w:rsidRPr="00201AB2" w:rsidRDefault="00201AB2" w:rsidP="00201AB2">
      <w:pPr>
        <w:jc w:val="both"/>
        <w:rPr>
          <w:lang w:val="tr-TR"/>
        </w:rPr>
      </w:pPr>
      <w:r w:rsidRPr="00201AB2">
        <w:rPr>
          <w:b/>
          <w:bCs/>
          <w:lang w:val="tr-TR"/>
        </w:rPr>
        <w:t>2. Inclusion Support</w:t>
      </w:r>
    </w:p>
    <w:p w14:paraId="7B6402AF" w14:textId="77777777" w:rsidR="00201AB2" w:rsidRPr="00201AB2" w:rsidRDefault="00201AB2" w:rsidP="00201AB2">
      <w:pPr>
        <w:jc w:val="both"/>
        <w:rPr>
          <w:lang w:val="tr-TR"/>
        </w:rPr>
      </w:pPr>
      <w:r w:rsidRPr="00201AB2">
        <w:rPr>
          <w:lang w:val="tr-TR"/>
        </w:rPr>
        <w:t>The Erasmus+ Programme encourages the participation of participants with fewer opportunities. A participant with fewer opportunities is defined as a potential participant whose personal physical, mental, or health-related condition would prevent participation in the project or mobility activity without additional financial support.</w:t>
      </w:r>
    </w:p>
    <w:p w14:paraId="152A1218" w14:textId="77777777" w:rsidR="00201AB2" w:rsidRPr="00201AB2" w:rsidRDefault="00201AB2" w:rsidP="00201AB2">
      <w:pPr>
        <w:jc w:val="both"/>
        <w:rPr>
          <w:lang w:val="tr-TR"/>
        </w:rPr>
      </w:pPr>
      <w:r w:rsidRPr="00201AB2">
        <w:rPr>
          <w:lang w:val="tr-TR"/>
        </w:rPr>
        <w:t>Participants who are entitled to mobility and who require Green Travel Support or Inclusion Support are required to contact the Erasmus Office for detailed information and guidance regarding the application procedures.</w:t>
      </w:r>
    </w:p>
    <w:p w14:paraId="6423B4F2" w14:textId="77777777" w:rsidR="00B21825" w:rsidRPr="00E84CF6" w:rsidRDefault="00B21825" w:rsidP="00E84CF6">
      <w:pPr>
        <w:jc w:val="both"/>
        <w:rPr>
          <w:lang w:val="tr-TR"/>
        </w:rPr>
      </w:pPr>
    </w:p>
    <w:p w14:paraId="57F941DE" w14:textId="77777777" w:rsidR="00E84CF6" w:rsidRPr="00E84CF6" w:rsidRDefault="00E84CF6" w:rsidP="00E84CF6">
      <w:pPr>
        <w:jc w:val="both"/>
        <w:rPr>
          <w:lang w:val="tr-TR"/>
        </w:rPr>
      </w:pPr>
    </w:p>
    <w:p w14:paraId="629A733F" w14:textId="563829A4" w:rsidR="008F7399" w:rsidRPr="00E84CF6" w:rsidRDefault="008F7399" w:rsidP="00E84CF6"/>
    <w:sectPr w:rsidR="008F7399" w:rsidRPr="00E84C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8C8D9" w14:textId="77777777" w:rsidR="0019716A" w:rsidRDefault="0019716A" w:rsidP="00E84CF6">
      <w:pPr>
        <w:spacing w:after="0" w:line="240" w:lineRule="auto"/>
      </w:pPr>
      <w:r>
        <w:separator/>
      </w:r>
    </w:p>
  </w:endnote>
  <w:endnote w:type="continuationSeparator" w:id="0">
    <w:p w14:paraId="5DED1B38" w14:textId="77777777" w:rsidR="0019716A" w:rsidRDefault="0019716A" w:rsidP="00E8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940C2" w14:textId="77777777" w:rsidR="0019716A" w:rsidRDefault="0019716A" w:rsidP="00E84CF6">
      <w:pPr>
        <w:spacing w:after="0" w:line="240" w:lineRule="auto"/>
      </w:pPr>
      <w:r>
        <w:separator/>
      </w:r>
    </w:p>
  </w:footnote>
  <w:footnote w:type="continuationSeparator" w:id="0">
    <w:p w14:paraId="51B6009E" w14:textId="77777777" w:rsidR="0019716A" w:rsidRDefault="0019716A" w:rsidP="00E8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E3249" w14:textId="77777777" w:rsidR="00E84CF6" w:rsidRPr="00C56401" w:rsidRDefault="00E84CF6" w:rsidP="00E84CF6">
    <w:pPr>
      <w:pStyle w:val="Header"/>
    </w:pPr>
    <w:r>
      <w:t xml:space="preserve">         </w:t>
    </w:r>
    <w:r>
      <w:rPr>
        <w:noProof/>
        <w:sz w:val="20"/>
        <w:szCs w:val="24"/>
        <w:lang w:eastAsia="tr-TR"/>
      </w:rPr>
      <w:drawing>
        <wp:inline distT="0" distB="0" distL="0" distR="0" wp14:anchorId="213BDC3C" wp14:editId="6D409A86">
          <wp:extent cx="1266071" cy="695325"/>
          <wp:effectExtent l="0" t="0" r="0" b="0"/>
          <wp:docPr id="1369941093" name="Resim 1" descr="bayrak, grafik, simge, sembol,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41093" name="Resim 1" descr="bayrak, grafik, simge, sembol,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517" cy="701062"/>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19623B52" wp14:editId="627505D5">
          <wp:extent cx="1333500" cy="699541"/>
          <wp:effectExtent l="0" t="0" r="0" b="0"/>
          <wp:docPr id="275662802" name="Resim 2" descr="grafik, grafik tasarım, metin, iş kart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62802" name="Resim 2" descr="grafik, grafik tasarım, metin, iş kartı içeren bir resim&#10;&#10;Yapay zeka tarafından oluşturulmuş içerik yanlış olabil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338" cy="705226"/>
                  </a:xfrm>
                  <a:prstGeom prst="rect">
                    <a:avLst/>
                  </a:prstGeom>
                  <a:noFill/>
                  <a:ln>
                    <a:noFill/>
                  </a:ln>
                </pic:spPr>
              </pic:pic>
            </a:graphicData>
          </a:graphic>
        </wp:inline>
      </w:drawing>
    </w:r>
    <w:r>
      <w:rPr>
        <w:noProof/>
      </w:rPr>
      <w:t xml:space="preserve">           </w:t>
    </w:r>
    <w:r>
      <w:rPr>
        <w:noProof/>
      </w:rPr>
      <w:drawing>
        <wp:inline distT="0" distB="0" distL="0" distR="0" wp14:anchorId="2339E96D" wp14:editId="3E6D9FA9">
          <wp:extent cx="962025" cy="876057"/>
          <wp:effectExtent l="0" t="0" r="0" b="0"/>
          <wp:docPr id="1551340628" name="Resim 3" descr="bayrak, simge, sembol, yazı tipi,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40628" name="Resim 3" descr="bayrak, simge, sembol, yazı tipi, meneviş mavisi içeren bir resim&#10;&#10;Yapay zeka tarafından oluşturulmuş içerik yanlış olabili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9697" cy="883043"/>
                  </a:xfrm>
                  <a:prstGeom prst="rect">
                    <a:avLst/>
                  </a:prstGeom>
                  <a:noFill/>
                  <a:ln>
                    <a:noFill/>
                  </a:ln>
                </pic:spPr>
              </pic:pic>
            </a:graphicData>
          </a:graphic>
        </wp:inline>
      </w:drawing>
    </w:r>
    <w:r>
      <w:t xml:space="preserve">        </w:t>
    </w:r>
    <w:r>
      <w:rPr>
        <w:noProof/>
      </w:rPr>
      <w:drawing>
        <wp:inline distT="0" distB="0" distL="0" distR="0" wp14:anchorId="07CD39C8" wp14:editId="0E92E3B9">
          <wp:extent cx="829866" cy="781050"/>
          <wp:effectExtent l="0" t="0" r="0" b="0"/>
          <wp:docPr id="1204242694" name="Resim 4" descr="kuş, kırpıntı çizim, taslak,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42694" name="Resim 4" descr="kuş, kırpıntı çizim, taslak, grafik içeren bir resim&#10;&#10;Yapay zeka tarafından oluşturulmuş içerik yanlış olabil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3488" cy="784459"/>
                  </a:xfrm>
                  <a:prstGeom prst="rect">
                    <a:avLst/>
                  </a:prstGeom>
                  <a:noFill/>
                  <a:ln>
                    <a:noFill/>
                  </a:ln>
                </pic:spPr>
              </pic:pic>
            </a:graphicData>
          </a:graphic>
        </wp:inline>
      </w:drawing>
    </w:r>
    <w:r>
      <w:t xml:space="preserve">                       </w:t>
    </w:r>
  </w:p>
  <w:p w14:paraId="5029D7D8" w14:textId="77777777" w:rsidR="00E84CF6" w:rsidRDefault="00E84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B60"/>
    <w:multiLevelType w:val="multilevel"/>
    <w:tmpl w:val="805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7627A"/>
    <w:multiLevelType w:val="hybridMultilevel"/>
    <w:tmpl w:val="8BFA9CD0"/>
    <w:lvl w:ilvl="0" w:tplc="4A66B98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6A41146"/>
    <w:multiLevelType w:val="multilevel"/>
    <w:tmpl w:val="E17E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01D61"/>
    <w:multiLevelType w:val="hybridMultilevel"/>
    <w:tmpl w:val="A50A1C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CC5C8A"/>
    <w:multiLevelType w:val="multilevel"/>
    <w:tmpl w:val="B5D2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76E58"/>
    <w:multiLevelType w:val="hybridMultilevel"/>
    <w:tmpl w:val="FC387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E8C795A"/>
    <w:multiLevelType w:val="hybridMultilevel"/>
    <w:tmpl w:val="8A9026D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5F23183E"/>
    <w:multiLevelType w:val="hybridMultilevel"/>
    <w:tmpl w:val="612E9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4336E1"/>
    <w:multiLevelType w:val="multilevel"/>
    <w:tmpl w:val="2F26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BC57B8"/>
    <w:multiLevelType w:val="multilevel"/>
    <w:tmpl w:val="E26CD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1"/>
  </w:num>
  <w:num w:numId="5">
    <w:abstractNumId w:val="4"/>
  </w:num>
  <w:num w:numId="6">
    <w:abstractNumId w:val="2"/>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F8"/>
    <w:rsid w:val="000139CE"/>
    <w:rsid w:val="0012117D"/>
    <w:rsid w:val="0019716A"/>
    <w:rsid w:val="001F5F33"/>
    <w:rsid w:val="00201AB2"/>
    <w:rsid w:val="002616A0"/>
    <w:rsid w:val="004303F8"/>
    <w:rsid w:val="004D1A02"/>
    <w:rsid w:val="00533127"/>
    <w:rsid w:val="0056754F"/>
    <w:rsid w:val="005C4053"/>
    <w:rsid w:val="006D3A42"/>
    <w:rsid w:val="006E53C2"/>
    <w:rsid w:val="007B0469"/>
    <w:rsid w:val="00867784"/>
    <w:rsid w:val="008F7399"/>
    <w:rsid w:val="009063B9"/>
    <w:rsid w:val="00931A45"/>
    <w:rsid w:val="009C3BED"/>
    <w:rsid w:val="009E49D1"/>
    <w:rsid w:val="00A5708E"/>
    <w:rsid w:val="00B21825"/>
    <w:rsid w:val="00B2294F"/>
    <w:rsid w:val="00BB4DA2"/>
    <w:rsid w:val="00BE4336"/>
    <w:rsid w:val="00C420A9"/>
    <w:rsid w:val="00CC554B"/>
    <w:rsid w:val="00CE69BD"/>
    <w:rsid w:val="00E133F6"/>
    <w:rsid w:val="00E44389"/>
    <w:rsid w:val="00E84CF6"/>
    <w:rsid w:val="00F61625"/>
    <w:rsid w:val="00F77D2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A6E3"/>
  <w15:chartTrackingRefBased/>
  <w15:docId w15:val="{845DE726-A1F8-45EE-B377-DFBB3AB3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3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3F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4303F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4303F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4303F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4303F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4303F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303F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303F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303F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30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3F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30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3F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303F8"/>
    <w:pPr>
      <w:spacing w:before="160"/>
      <w:jc w:val="center"/>
    </w:pPr>
    <w:rPr>
      <w:i/>
      <w:iCs/>
      <w:color w:val="404040" w:themeColor="text1" w:themeTint="BF"/>
    </w:rPr>
  </w:style>
  <w:style w:type="character" w:customStyle="1" w:styleId="QuoteChar">
    <w:name w:val="Quote Char"/>
    <w:basedOn w:val="DefaultParagraphFont"/>
    <w:link w:val="Quote"/>
    <w:uiPriority w:val="29"/>
    <w:rsid w:val="004303F8"/>
    <w:rPr>
      <w:i/>
      <w:iCs/>
      <w:color w:val="404040" w:themeColor="text1" w:themeTint="BF"/>
      <w:lang w:val="en-US"/>
    </w:rPr>
  </w:style>
  <w:style w:type="paragraph" w:styleId="ListParagraph">
    <w:name w:val="List Paragraph"/>
    <w:basedOn w:val="Normal"/>
    <w:uiPriority w:val="34"/>
    <w:qFormat/>
    <w:rsid w:val="004303F8"/>
    <w:pPr>
      <w:ind w:left="720"/>
      <w:contextualSpacing/>
    </w:pPr>
  </w:style>
  <w:style w:type="character" w:styleId="IntenseEmphasis">
    <w:name w:val="Intense Emphasis"/>
    <w:basedOn w:val="DefaultParagraphFont"/>
    <w:uiPriority w:val="21"/>
    <w:qFormat/>
    <w:rsid w:val="004303F8"/>
    <w:rPr>
      <w:i/>
      <w:iCs/>
      <w:color w:val="0F4761" w:themeColor="accent1" w:themeShade="BF"/>
    </w:rPr>
  </w:style>
  <w:style w:type="paragraph" w:styleId="IntenseQuote">
    <w:name w:val="Intense Quote"/>
    <w:basedOn w:val="Normal"/>
    <w:next w:val="Normal"/>
    <w:link w:val="IntenseQuoteChar"/>
    <w:uiPriority w:val="30"/>
    <w:qFormat/>
    <w:rsid w:val="0043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3F8"/>
    <w:rPr>
      <w:i/>
      <w:iCs/>
      <w:color w:val="0F4761" w:themeColor="accent1" w:themeShade="BF"/>
      <w:lang w:val="en-US"/>
    </w:rPr>
  </w:style>
  <w:style w:type="character" w:styleId="IntenseReference">
    <w:name w:val="Intense Reference"/>
    <w:basedOn w:val="DefaultParagraphFont"/>
    <w:uiPriority w:val="32"/>
    <w:qFormat/>
    <w:rsid w:val="004303F8"/>
    <w:rPr>
      <w:b/>
      <w:bCs/>
      <w:smallCaps/>
      <w:color w:val="0F4761" w:themeColor="accent1" w:themeShade="BF"/>
      <w:spacing w:val="5"/>
    </w:rPr>
  </w:style>
  <w:style w:type="table" w:customStyle="1" w:styleId="TableNormal1">
    <w:name w:val="Table Normal1"/>
    <w:uiPriority w:val="2"/>
    <w:semiHidden/>
    <w:unhideWhenUsed/>
    <w:qFormat/>
    <w:rsid w:val="0053312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CC554B"/>
    <w:rPr>
      <w:color w:val="467886" w:themeColor="hyperlink"/>
      <w:u w:val="single"/>
    </w:rPr>
  </w:style>
  <w:style w:type="character" w:styleId="UnresolvedMention">
    <w:name w:val="Unresolved Mention"/>
    <w:basedOn w:val="DefaultParagraphFont"/>
    <w:uiPriority w:val="99"/>
    <w:semiHidden/>
    <w:unhideWhenUsed/>
    <w:rsid w:val="00CC554B"/>
    <w:rPr>
      <w:color w:val="605E5C"/>
      <w:shd w:val="clear" w:color="auto" w:fill="E1DFDD"/>
    </w:rPr>
  </w:style>
  <w:style w:type="paragraph" w:styleId="Header">
    <w:name w:val="header"/>
    <w:basedOn w:val="Normal"/>
    <w:link w:val="HeaderChar"/>
    <w:uiPriority w:val="99"/>
    <w:unhideWhenUsed/>
    <w:rsid w:val="00E84C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4CF6"/>
    <w:rPr>
      <w:lang w:val="en-US"/>
    </w:rPr>
  </w:style>
  <w:style w:type="paragraph" w:styleId="Footer">
    <w:name w:val="footer"/>
    <w:basedOn w:val="Normal"/>
    <w:link w:val="FooterChar"/>
    <w:uiPriority w:val="99"/>
    <w:unhideWhenUsed/>
    <w:rsid w:val="00E84C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4CF6"/>
    <w:rPr>
      <w:lang w:val="en-US"/>
    </w:rPr>
  </w:style>
  <w:style w:type="paragraph" w:customStyle="1" w:styleId="TableParagraph">
    <w:name w:val="Table Paragraph"/>
    <w:basedOn w:val="Normal"/>
    <w:uiPriority w:val="1"/>
    <w:qFormat/>
    <w:rsid w:val="00B21825"/>
    <w:pPr>
      <w:widowControl w:val="0"/>
      <w:autoSpaceDE w:val="0"/>
      <w:autoSpaceDN w:val="0"/>
      <w:spacing w:after="0" w:line="256" w:lineRule="exact"/>
      <w:ind w:left="110"/>
    </w:pPr>
    <w:rPr>
      <w:rFonts w:ascii="Times New Roman" w:eastAsia="Times New Roman" w:hAnsi="Times New Roman" w:cs="Times New Roman"/>
      <w:kern w:val="0"/>
      <w:lang w:val="tr-TR"/>
      <w14:ligatures w14:val="none"/>
    </w:rPr>
  </w:style>
  <w:style w:type="character" w:styleId="Strong">
    <w:name w:val="Strong"/>
    <w:basedOn w:val="DefaultParagraphFont"/>
    <w:uiPriority w:val="22"/>
    <w:qFormat/>
    <w:rsid w:val="00B21825"/>
    <w:rPr>
      <w:b/>
      <w:bCs/>
    </w:rPr>
  </w:style>
  <w:style w:type="character" w:styleId="FootnoteReference">
    <w:name w:val="footnote reference"/>
    <w:basedOn w:val="DefaultParagraphFont"/>
    <w:uiPriority w:val="99"/>
    <w:semiHidden/>
    <w:unhideWhenUsed/>
    <w:rsid w:val="00201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programmes/erasmus-plus/tools/distance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1392</Words>
  <Characters>7660</Characters>
  <Application>Microsoft Office Word</Application>
  <DocSecurity>0</DocSecurity>
  <Lines>63</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ERGİN</dc:creator>
  <cp:keywords/>
  <dc:description/>
  <cp:lastModifiedBy>Naima Mouyouh</cp:lastModifiedBy>
  <cp:revision>13</cp:revision>
  <cp:lastPrinted>2025-12-29T10:20:00Z</cp:lastPrinted>
  <dcterms:created xsi:type="dcterms:W3CDTF">2024-09-09T08:49:00Z</dcterms:created>
  <dcterms:modified xsi:type="dcterms:W3CDTF">2026-01-05T10:22:00Z</dcterms:modified>
</cp:coreProperties>
</file>